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29" w:rsidRPr="00163730" w:rsidRDefault="00AE5329" w:rsidP="00AE532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505050"/>
          <w:sz w:val="24"/>
          <w:szCs w:val="24"/>
        </w:rPr>
      </w:pPr>
      <w:r w:rsidRPr="00163730">
        <w:rPr>
          <w:rFonts w:ascii="DejaVuSerifCondensed" w:hAnsi="DejaVuSerifCondensed" w:cs="DejaVuSerifCondensed"/>
          <w:color w:val="505050"/>
          <w:sz w:val="24"/>
          <w:szCs w:val="24"/>
        </w:rPr>
        <w:t xml:space="preserve">Merger Mania. L’ossessione </w:t>
      </w:r>
      <w:r w:rsidR="00163730" w:rsidRPr="00163730">
        <w:rPr>
          <w:rFonts w:ascii="DejaVuSerifCondensed" w:hAnsi="DejaVuSerifCondensed" w:cs="DejaVuSerifCondensed"/>
          <w:color w:val="505050"/>
          <w:sz w:val="24"/>
          <w:szCs w:val="24"/>
        </w:rPr>
        <w:t xml:space="preserve">degli accorpamenti delle Asl </w:t>
      </w:r>
    </w:p>
    <w:p w:rsidR="00AE5329" w:rsidRDefault="00AE5329" w:rsidP="00AE532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505050"/>
          <w:sz w:val="24"/>
          <w:szCs w:val="24"/>
        </w:rPr>
      </w:pPr>
    </w:p>
    <w:p w:rsidR="00163730" w:rsidRPr="00DD0A31" w:rsidRDefault="00163730" w:rsidP="00163730">
      <w:pPr>
        <w:autoSpaceDE w:val="0"/>
        <w:autoSpaceDN w:val="0"/>
        <w:adjustRightInd w:val="0"/>
        <w:spacing w:after="0" w:line="240" w:lineRule="auto"/>
        <w:rPr>
          <w:rFonts w:cs="DejaVuSerifCondensed-Bold"/>
          <w:bCs/>
          <w:color w:val="505050"/>
          <w:sz w:val="18"/>
          <w:szCs w:val="18"/>
        </w:rPr>
      </w:pPr>
      <w:bookmarkStart w:id="0" w:name="_GoBack"/>
      <w:r w:rsidRPr="00DD0A31">
        <w:rPr>
          <w:rFonts w:cs="DejaVuSerifCondensed-Bold"/>
          <w:bCs/>
          <w:color w:val="505050"/>
          <w:sz w:val="18"/>
          <w:szCs w:val="18"/>
        </w:rPr>
        <w:t>Marco Mariani, Anna Acampora, Gianfranco Damiani. Istituto di Sanità Pubblica -Sezione di</w:t>
      </w:r>
    </w:p>
    <w:p w:rsidR="00DD0A31" w:rsidRPr="00DD0A31" w:rsidRDefault="00163730" w:rsidP="00DD0A31">
      <w:pPr>
        <w:autoSpaceDE w:val="0"/>
        <w:autoSpaceDN w:val="0"/>
        <w:adjustRightInd w:val="0"/>
        <w:spacing w:after="0" w:line="240" w:lineRule="auto"/>
        <w:rPr>
          <w:rFonts w:ascii="DejaVuSerifCondensed-BoldItalic" w:hAnsi="DejaVuSerifCondensed-BoldItalic" w:cs="DejaVuSerifCondensed-BoldItalic"/>
          <w:bCs/>
          <w:i/>
          <w:iCs/>
          <w:color w:val="505050"/>
          <w:sz w:val="16"/>
          <w:szCs w:val="16"/>
        </w:rPr>
      </w:pPr>
      <w:r w:rsidRPr="00DD0A31">
        <w:rPr>
          <w:rFonts w:cs="DejaVuSerifCondensed-Bold"/>
          <w:bCs/>
          <w:color w:val="505050"/>
          <w:sz w:val="18"/>
          <w:szCs w:val="18"/>
        </w:rPr>
        <w:t>Igiene, Università Cattolica del Sacro Cuore</w:t>
      </w:r>
      <w:r w:rsidR="00DD0A31">
        <w:rPr>
          <w:rFonts w:cs="DejaVuSerifCondensed-Bold"/>
          <w:bCs/>
          <w:color w:val="505050"/>
          <w:sz w:val="18"/>
          <w:szCs w:val="18"/>
        </w:rPr>
        <w:t xml:space="preserve"> </w:t>
      </w:r>
      <w:r w:rsidR="00DD0A31" w:rsidRPr="00DD0A31">
        <w:rPr>
          <w:rFonts w:ascii="DejaVuSerifCondensed-BoldItalic" w:hAnsi="DejaVuSerifCondensed-BoldItalic" w:cs="DejaVuSerifCondensed-BoldItalic"/>
          <w:bCs/>
          <w:i/>
          <w:iCs/>
          <w:color w:val="505050"/>
          <w:sz w:val="16"/>
          <w:szCs w:val="16"/>
        </w:rPr>
        <w:t>(da Saluteinternazionale.info)</w:t>
      </w:r>
    </w:p>
    <w:bookmarkEnd w:id="0"/>
    <w:p w:rsidR="00163730" w:rsidRPr="00DD0A31" w:rsidRDefault="00163730" w:rsidP="00163730">
      <w:pPr>
        <w:autoSpaceDE w:val="0"/>
        <w:autoSpaceDN w:val="0"/>
        <w:adjustRightInd w:val="0"/>
        <w:spacing w:after="0" w:line="240" w:lineRule="auto"/>
        <w:rPr>
          <w:rFonts w:cs="DejaVuSerifCondensed-Bold"/>
          <w:bCs/>
          <w:color w:val="505050"/>
          <w:sz w:val="18"/>
          <w:szCs w:val="18"/>
        </w:rPr>
      </w:pPr>
    </w:p>
    <w:p w:rsidR="00163730" w:rsidRDefault="00163730" w:rsidP="00AE532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505050"/>
          <w:sz w:val="24"/>
          <w:szCs w:val="24"/>
        </w:rPr>
      </w:pP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Le evidenze empiriche di beneficio nella performance ed economicità dovute agli</w:t>
      </w:r>
      <w:r w:rsidR="00DD0A31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accorpamenti sono scarse e l’incremento della dimensione organizzativa produce una</w:t>
      </w:r>
      <w:r w:rsidR="00DD0A31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maggiore “distanza” tra vertice strategico e linee operative con conseguente aumento di</w:t>
      </w:r>
      <w:r w:rsidR="00DD0A31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costi di integrazione legati alla necessaria espansione delle funzioni di </w:t>
      </w:r>
      <w:r w:rsidRPr="00AE5329">
        <w:rPr>
          <w:rFonts w:cs="DejaVuSerifCondensed-Italic"/>
          <w:i/>
          <w:iCs/>
          <w:color w:val="505050"/>
        </w:rPr>
        <w:t>middle management</w:t>
      </w:r>
      <w:r w:rsidRPr="00AE5329">
        <w:rPr>
          <w:rFonts w:cs="DejaVuSerifCondensed"/>
          <w:color w:val="505050"/>
        </w:rPr>
        <w:t>.</w:t>
      </w:r>
    </w:p>
    <w:p w:rsidR="00327338" w:rsidRPr="00B9370A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b/>
          <w:color w:val="505050"/>
        </w:rPr>
      </w:pPr>
      <w:r w:rsidRPr="00B9370A">
        <w:rPr>
          <w:rFonts w:cs="DejaVuSerifCondensed-Bold"/>
          <w:b/>
          <w:bCs/>
          <w:color w:val="505050"/>
        </w:rPr>
        <w:t>I processi di accorpamento di aziende sanitarie, documentati in letteratura, sono</w:t>
      </w:r>
      <w:r w:rsidR="00DD0A31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partiti negli anni ‘90 negli Stati Uniti e nel Regno Unito</w:t>
      </w:r>
      <w:r w:rsidRPr="00B9370A">
        <w:rPr>
          <w:rFonts w:cs="DejaVuSerifCondensed"/>
          <w:b/>
          <w:color w:val="505050"/>
        </w:rPr>
        <w:t xml:space="preserve">. </w:t>
      </w: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Facendo un breve excursus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storico, fu il governo laburista di T. Blair (1997-2006) a sostenere un programma radicale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chiusura di strutture sanitarie determinando il loro accorpamento. </w:t>
      </w: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I processi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accorpamento hanno così portato negli anni ad una modifica radicale delle strutture</w:t>
      </w:r>
      <w:r w:rsidR="00137156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dell’intero Sistema Sanitario Inglese (NHS)[</w:t>
      </w:r>
      <w:r w:rsidRPr="00AE5329">
        <w:rPr>
          <w:rFonts w:cs="DejaVuSerifCondensed"/>
          <w:color w:val="0000FF"/>
        </w:rPr>
        <w:t>1</w:t>
      </w:r>
      <w:r w:rsidRPr="00AE5329">
        <w:rPr>
          <w:rFonts w:cs="DejaVuSerifCondensed"/>
          <w:color w:val="505050"/>
        </w:rPr>
        <w:t xml:space="preserve">]. </w:t>
      </w: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Negli Stati Uniti il cambiamento di metodo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pagamento del programma Medicare (</w:t>
      </w:r>
      <w:proofErr w:type="spellStart"/>
      <w:r w:rsidRPr="00AE5329">
        <w:rPr>
          <w:rFonts w:cs="DejaVuSerifCondensed-Italic"/>
          <w:i/>
          <w:iCs/>
          <w:color w:val="505050"/>
        </w:rPr>
        <w:t>Prospective</w:t>
      </w:r>
      <w:proofErr w:type="spellEnd"/>
      <w:r w:rsidRPr="00AE5329">
        <w:rPr>
          <w:rFonts w:cs="DejaVuSerifCondensed-Italic"/>
          <w:i/>
          <w:iCs/>
          <w:color w:val="505050"/>
        </w:rPr>
        <w:t xml:space="preserve"> </w:t>
      </w:r>
      <w:proofErr w:type="spellStart"/>
      <w:r w:rsidRPr="00AE5329">
        <w:rPr>
          <w:rFonts w:cs="DejaVuSerifCondensed-Italic"/>
          <w:i/>
          <w:iCs/>
          <w:color w:val="505050"/>
        </w:rPr>
        <w:t>Payment</w:t>
      </w:r>
      <w:proofErr w:type="spellEnd"/>
      <w:r w:rsidRPr="00AE5329">
        <w:rPr>
          <w:rFonts w:cs="DejaVuSerifCondensed-Italic"/>
          <w:i/>
          <w:iCs/>
          <w:color w:val="505050"/>
        </w:rPr>
        <w:t xml:space="preserve"> System </w:t>
      </w:r>
      <w:r w:rsidRPr="00AE5329">
        <w:rPr>
          <w:rFonts w:cs="DejaVuSerifCondensed"/>
          <w:color w:val="505050"/>
        </w:rPr>
        <w:t>del 1983, vedi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introduzione dei </w:t>
      </w:r>
      <w:proofErr w:type="spellStart"/>
      <w:r w:rsidRPr="00AE5329">
        <w:rPr>
          <w:rFonts w:cs="DejaVuSerifCondensed"/>
          <w:color w:val="505050"/>
        </w:rPr>
        <w:t>DRGs</w:t>
      </w:r>
      <w:proofErr w:type="spellEnd"/>
      <w:r w:rsidRPr="00AE5329">
        <w:rPr>
          <w:rFonts w:cs="DejaVuSerifCondensed"/>
          <w:color w:val="505050"/>
        </w:rPr>
        <w:t>) fu il principale stimolo all’accorpamento di aziende ospedaliere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pari passo alla crescita della </w:t>
      </w:r>
      <w:proofErr w:type="spellStart"/>
      <w:r w:rsidRPr="00AE5329">
        <w:rPr>
          <w:rFonts w:cs="DejaVuSerifCondensed"/>
          <w:color w:val="505050"/>
        </w:rPr>
        <w:t>Managed</w:t>
      </w:r>
      <w:proofErr w:type="spellEnd"/>
      <w:r w:rsidRPr="00AE5329">
        <w:rPr>
          <w:rFonts w:cs="DejaVuSerifCondensed"/>
          <w:color w:val="505050"/>
        </w:rPr>
        <w:t xml:space="preserve"> Care[</w:t>
      </w:r>
      <w:r w:rsidRPr="00AE5329">
        <w:rPr>
          <w:rFonts w:cs="DejaVuSerifCondensed"/>
          <w:color w:val="0000FF"/>
        </w:rPr>
        <w:t>2</w:t>
      </w:r>
      <w:r w:rsidRPr="00AE5329">
        <w:rPr>
          <w:rFonts w:cs="DejaVuSerifCondensed"/>
          <w:color w:val="505050"/>
        </w:rPr>
        <w:t>]</w:t>
      </w:r>
      <w:r w:rsidR="00DD0A31">
        <w:rPr>
          <w:rFonts w:cs="DejaVuSerifCondensed"/>
          <w:color w:val="505050"/>
        </w:rPr>
        <w:t>.</w:t>
      </w:r>
      <w:r w:rsidRPr="00AE5329">
        <w:rPr>
          <w:rFonts w:cs="DejaVuSerifCondensed"/>
          <w:color w:val="505050"/>
        </w:rPr>
        <w:t xml:space="preserve"> </w:t>
      </w:r>
    </w:p>
    <w:p w:rsid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Anche altri Paesi, come quelli del Nord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Europa, Germania, Paesi Bassi, Canada, hanno percorso o stanno procedendo nella stessa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direzione, quella che è stata definita mania di accorpamenti o “merger </w:t>
      </w:r>
      <w:proofErr w:type="gramStart"/>
      <w:r w:rsidRPr="00AE5329">
        <w:rPr>
          <w:rFonts w:cs="DejaVuSerifCondensed"/>
          <w:color w:val="505050"/>
        </w:rPr>
        <w:t>mania”[</w:t>
      </w:r>
      <w:proofErr w:type="gramEnd"/>
      <w:r w:rsidRPr="00AE5329">
        <w:rPr>
          <w:rFonts w:cs="DejaVuSerifCondensed"/>
          <w:color w:val="0000FF"/>
        </w:rPr>
        <w:t>1, 3, 4</w:t>
      </w:r>
      <w:r w:rsidRPr="00AE5329">
        <w:rPr>
          <w:rFonts w:cs="DejaVuSerifCondensed"/>
          <w:color w:val="505050"/>
        </w:rPr>
        <w:t>].</w:t>
      </w:r>
    </w:p>
    <w:p w:rsidR="00DD0A31" w:rsidRPr="00AE5329" w:rsidRDefault="00DD0A31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327338" w:rsidRPr="00B9370A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/>
          <w:bCs/>
          <w:color w:val="505050"/>
        </w:rPr>
      </w:pPr>
      <w:r w:rsidRPr="00B9370A">
        <w:rPr>
          <w:rFonts w:cs="DejaVuSerifCondensed-Bold"/>
          <w:b/>
          <w:bCs/>
          <w:color w:val="505050"/>
        </w:rPr>
        <w:t xml:space="preserve">Lo scenario italiano non è affatto dissimile dagli altri Paesi. </w:t>
      </w:r>
    </w:p>
    <w:p w:rsidR="00AE5329" w:rsidRPr="00B9370A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/>
          <w:bCs/>
          <w:color w:val="505050"/>
        </w:rPr>
      </w:pPr>
      <w:r w:rsidRPr="00B9370A">
        <w:rPr>
          <w:rFonts w:cs="DejaVuSerifCondensed-Bold"/>
          <w:b/>
          <w:bCs/>
          <w:color w:val="505050"/>
        </w:rPr>
        <w:t>Si è passati da un</w:t>
      </w:r>
      <w:r w:rsidR="00327338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totale di 659 USL nel 1992 a 180 ASL nel 2005 e infine, nel 2017 ne sono previste</w:t>
      </w:r>
    </w:p>
    <w:p w:rsidR="00137156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/>
          <w:bCs/>
          <w:color w:val="505050"/>
        </w:rPr>
      </w:pPr>
      <w:r w:rsidRPr="00B9370A">
        <w:rPr>
          <w:rFonts w:cs="DejaVuSerifCondensed-Bold"/>
          <w:b/>
          <w:bCs/>
          <w:color w:val="505050"/>
        </w:rPr>
        <w:t>104, di cui due cosiddette Aziende Zero – una in Veneto e una in Liguri</w:t>
      </w:r>
      <w:r w:rsidR="00C05DC2">
        <w:rPr>
          <w:rFonts w:cs="DejaVuSerifCondensed-Bold"/>
          <w:b/>
          <w:bCs/>
          <w:color w:val="505050"/>
        </w:rPr>
        <w:t xml:space="preserve">a 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In totale le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ASL si sono ridotte del 40% dal 2005 al 2017. Andamento simile per quanto concerne 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Distretti, che si sono ridotti del 33% dal 2005 al 2017; erano 977 nel 1999, 835 nel 2005 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nel 2017 ne sono previsti 562. Anche gli IRCCS sono diminuiti drasticamente nel corso degli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anni: dal 2011 al 2017 sono passati da 82 a 19, mentre le Aziende Ospedaliere e le Aziende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Ospedaliere Universitarie, non sono variate complessivamente in maniera consistente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dall’anno 2011-2017, passando da 82 a 80 [</w:t>
      </w:r>
      <w:r w:rsidRPr="00AE5329">
        <w:rPr>
          <w:rFonts w:cs="DejaVuSerifCondensed"/>
          <w:color w:val="0000FF"/>
        </w:rPr>
        <w:t>5-7</w:t>
      </w:r>
      <w:r w:rsidRPr="00AE5329">
        <w:rPr>
          <w:rFonts w:cs="DejaVuSerifCondensed"/>
          <w:color w:val="505050"/>
        </w:rPr>
        <w:t>].</w:t>
      </w:r>
    </w:p>
    <w:p w:rsidR="00327338" w:rsidRDefault="00327338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</w:p>
    <w:p w:rsidR="00454AE6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B9370A">
        <w:rPr>
          <w:rFonts w:cs="DejaVuSerifCondensed-Bold"/>
          <w:b/>
          <w:bCs/>
          <w:color w:val="505050"/>
        </w:rPr>
        <w:t>Le principali assunzioni, individuate in letteratura scientifica, che spingono a</w:t>
      </w:r>
      <w:r w:rsidR="00327338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favorire il processo di fusione sono di tipo economico e politico</w:t>
      </w:r>
      <w:r w:rsidRPr="00AE5329">
        <w:rPr>
          <w:rFonts w:cs="DejaVuSerifCondensed"/>
          <w:color w:val="505050"/>
        </w:rPr>
        <w:t xml:space="preserve">. </w:t>
      </w: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Le prime sono il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raggiungimento di economie di scala e di scopo, la razionalizzazione dei servizi forniti, la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riduzione dell’eccesso di capacità, il miglioramento della qualità clinica conseguente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all’aumento di volumi, il miglioramento della qualità della formazione e l’attrazione e</w:t>
      </w:r>
      <w:r w:rsidR="00454AE6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fidelizzazione dello staff. </w:t>
      </w:r>
    </w:p>
    <w:p w:rsid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Le seconde sostengono che attraverso l’accorpamento sarebbe più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semplice procedere alla chiusura di ospedali o di alcuni servizi, sostenere finanziariamente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le organizzazioni più piccole, aumentare il potere di contrattazione, ampliare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l’organizzazione in risposta a sfide da parte dei committenti, migliorare i servizi per la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salute mentale (una singola organizzazione – si ritiene – possa fornire servizi di maggior</w:t>
      </w:r>
      <w:r w:rsidR="00454AE6">
        <w:rPr>
          <w:rFonts w:cs="DejaVuSerifCondensed"/>
          <w:color w:val="505050"/>
        </w:rPr>
        <w:t xml:space="preserve"> </w:t>
      </w:r>
      <w:proofErr w:type="gramStart"/>
      <w:r w:rsidRPr="00AE5329">
        <w:rPr>
          <w:rFonts w:cs="DejaVuSerifCondensed"/>
          <w:color w:val="505050"/>
        </w:rPr>
        <w:t>qualità)[</w:t>
      </w:r>
      <w:proofErr w:type="gramEnd"/>
      <w:r w:rsidRPr="00AE5329">
        <w:rPr>
          <w:rFonts w:cs="DejaVuSerifCondensed"/>
          <w:color w:val="0000FF"/>
        </w:rPr>
        <w:t>8, 9</w:t>
      </w:r>
      <w:r w:rsidRPr="00AE5329">
        <w:rPr>
          <w:rFonts w:cs="DejaVuSerifCondensed"/>
          <w:color w:val="505050"/>
        </w:rPr>
        <w:t>].</w:t>
      </w:r>
    </w:p>
    <w:p w:rsidR="00D37913" w:rsidRPr="00AE5329" w:rsidRDefault="00D37913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B9370A">
        <w:rPr>
          <w:rFonts w:cs="DejaVuSerifCondensed-Bold"/>
          <w:b/>
          <w:bCs/>
          <w:color w:val="505050"/>
        </w:rPr>
        <w:t>Il nostro gruppo di ricerca ha condotto una revisione estensiva della letteratura</w:t>
      </w:r>
      <w:r w:rsidR="00327338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scientifica internazionale, di cui si riporta un breve commento, per fornire elementi</w:t>
      </w:r>
      <w:r w:rsidR="00327338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scientifici ad una riflessione sulle politiche sanitarie orientate agli accorpamenti di</w:t>
      </w:r>
      <w:r w:rsidR="00327338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aziende sanitarie</w:t>
      </w:r>
      <w:r w:rsidRPr="00AE5329">
        <w:rPr>
          <w:rFonts w:cs="DejaVuSerifCondensed"/>
          <w:color w:val="505050"/>
        </w:rPr>
        <w:t>.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 xml:space="preserve"> Dalla sintesi condotta sulla letteratura scientifica sono emersi quattro</w:t>
      </w:r>
      <w:r w:rsidR="00454AE6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focus:</w:t>
      </w:r>
    </w:p>
    <w:p w:rsidR="00AE5329" w:rsidRPr="00327338" w:rsidRDefault="00454AE6" w:rsidP="00B937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>
        <w:rPr>
          <w:rFonts w:cs="DejaVuSerifCondensed"/>
          <w:color w:val="505050"/>
        </w:rPr>
        <w:t>I</w:t>
      </w:r>
      <w:r w:rsidR="00AE5329" w:rsidRPr="00327338">
        <w:rPr>
          <w:rFonts w:cs="DejaVuSerifCondensed"/>
          <w:color w:val="505050"/>
        </w:rPr>
        <w:t xml:space="preserve">mpatto degli accorpamenti di ospedali su processi ed </w:t>
      </w:r>
      <w:proofErr w:type="spellStart"/>
      <w:r w:rsidR="00AE5329" w:rsidRPr="00327338">
        <w:rPr>
          <w:rFonts w:cs="DejaVuSerifCondensed"/>
          <w:color w:val="505050"/>
        </w:rPr>
        <w:t>outcome</w:t>
      </w:r>
      <w:proofErr w:type="spellEnd"/>
      <w:r w:rsidR="00AE5329" w:rsidRPr="00327338">
        <w:rPr>
          <w:rFonts w:cs="DejaVuSerifCondensed"/>
          <w:color w:val="505050"/>
        </w:rPr>
        <w:t>;</w:t>
      </w:r>
    </w:p>
    <w:p w:rsidR="00AE5329" w:rsidRPr="00327338" w:rsidRDefault="00454AE6" w:rsidP="00B937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>
        <w:rPr>
          <w:rFonts w:cs="DejaVuSerifCondensed"/>
          <w:color w:val="505050"/>
        </w:rPr>
        <w:t>C</w:t>
      </w:r>
      <w:r w:rsidR="00AE5329" w:rsidRPr="00327338">
        <w:rPr>
          <w:rFonts w:cs="DejaVuSerifCondensed"/>
          <w:color w:val="505050"/>
        </w:rPr>
        <w:t>orrelazione tra popolazione servita e performance di organizzazioni di assistenza primaria;</w:t>
      </w:r>
    </w:p>
    <w:p w:rsidR="00AE5329" w:rsidRPr="00454AE6" w:rsidRDefault="00454AE6" w:rsidP="00454A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454AE6">
        <w:rPr>
          <w:rFonts w:cs="DejaVuSerifCondensed"/>
          <w:color w:val="505050"/>
        </w:rPr>
        <w:t>P</w:t>
      </w:r>
      <w:r w:rsidR="00AE5329" w:rsidRPr="00454AE6">
        <w:rPr>
          <w:rFonts w:cs="DejaVuSerifCondensed"/>
          <w:color w:val="505050"/>
        </w:rPr>
        <w:t>rincipali driver;</w:t>
      </w:r>
    </w:p>
    <w:p w:rsidR="00AE5329" w:rsidRDefault="00454AE6" w:rsidP="00B937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>
        <w:rPr>
          <w:rFonts w:cs="DejaVuSerifCondensed"/>
          <w:color w:val="505050"/>
        </w:rPr>
        <w:t>P</w:t>
      </w:r>
      <w:r w:rsidR="00AE5329" w:rsidRPr="00327338">
        <w:rPr>
          <w:rFonts w:cs="DejaVuSerifCondensed"/>
          <w:color w:val="505050"/>
        </w:rPr>
        <w:t>ercezione e soddisfazione del personale delle strutture.</w:t>
      </w:r>
    </w:p>
    <w:p w:rsidR="00327338" w:rsidRPr="00327338" w:rsidRDefault="00327338" w:rsidP="00D3791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327338" w:rsidRPr="00B9370A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b/>
          <w:color w:val="505050"/>
        </w:rPr>
      </w:pPr>
      <w:r w:rsidRPr="00B9370A">
        <w:rPr>
          <w:rFonts w:cs="DejaVuSerifCondensed-Bold"/>
          <w:b/>
          <w:bCs/>
          <w:color w:val="505050"/>
        </w:rPr>
        <w:lastRenderedPageBreak/>
        <w:t>Le evidenze analizzate nel primo focus provengono da due studi</w:t>
      </w:r>
      <w:r w:rsidRPr="00B9370A">
        <w:rPr>
          <w:rFonts w:cs="DejaVuSerifCondensed"/>
          <w:b/>
          <w:color w:val="505050"/>
        </w:rPr>
        <w:t>, uno inglese (di tipo</w:t>
      </w:r>
      <w:r w:rsidR="00327338" w:rsidRPr="00B9370A">
        <w:rPr>
          <w:rFonts w:cs="DejaVuSerifCondensed"/>
          <w:b/>
          <w:color w:val="505050"/>
        </w:rPr>
        <w:t xml:space="preserve"> </w:t>
      </w:r>
      <w:r w:rsidRPr="00B9370A">
        <w:rPr>
          <w:rFonts w:cs="DejaVuSerifCondensed"/>
          <w:b/>
          <w:color w:val="505050"/>
        </w:rPr>
        <w:t xml:space="preserve">longitudinale su 102 </w:t>
      </w:r>
      <w:proofErr w:type="gramStart"/>
      <w:r w:rsidRPr="00B9370A">
        <w:rPr>
          <w:rFonts w:cs="DejaVuSerifCondensed"/>
          <w:b/>
          <w:color w:val="505050"/>
        </w:rPr>
        <w:t>accorpamenti)[</w:t>
      </w:r>
      <w:proofErr w:type="gramEnd"/>
      <w:r w:rsidRPr="00B9370A">
        <w:rPr>
          <w:rFonts w:cs="DejaVuSerifCondensed"/>
          <w:b/>
          <w:color w:val="0000FF"/>
        </w:rPr>
        <w:t>1</w:t>
      </w:r>
      <w:r w:rsidRPr="00B9370A">
        <w:rPr>
          <w:rFonts w:cs="DejaVuSerifCondensed"/>
          <w:b/>
          <w:color w:val="505050"/>
        </w:rPr>
        <w:t>] ed uno statunitense</w:t>
      </w:r>
      <w:r w:rsidRPr="00AE5329">
        <w:rPr>
          <w:rFonts w:cs="DejaVuSerifCondensed"/>
          <w:color w:val="505050"/>
        </w:rPr>
        <w:t xml:space="preserve"> (di tipo trasversale su 140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accorpamenti)[</w:t>
      </w:r>
      <w:r w:rsidRPr="00AE5329">
        <w:rPr>
          <w:rFonts w:cs="DejaVuSerifCondensed"/>
          <w:color w:val="0000FF"/>
        </w:rPr>
        <w:t>10</w:t>
      </w:r>
      <w:r w:rsidRPr="00AE5329">
        <w:rPr>
          <w:rFonts w:cs="DejaVuSerifCondensed"/>
          <w:color w:val="505050"/>
        </w:rPr>
        <w:t xml:space="preserve">]. </w:t>
      </w:r>
      <w:r w:rsidRPr="00B9370A">
        <w:rPr>
          <w:rFonts w:cs="DejaVuSerifCondensed-Bold"/>
          <w:b/>
          <w:bCs/>
          <w:color w:val="505050"/>
        </w:rPr>
        <w:t xml:space="preserve">Gli </w:t>
      </w:r>
      <w:proofErr w:type="spellStart"/>
      <w:r w:rsidRPr="00B9370A">
        <w:rPr>
          <w:rFonts w:cs="DejaVuSerifCondensed-Bold"/>
          <w:b/>
          <w:bCs/>
          <w:color w:val="505050"/>
        </w:rPr>
        <w:t>outcome</w:t>
      </w:r>
      <w:proofErr w:type="spellEnd"/>
      <w:r w:rsidRPr="00B9370A">
        <w:rPr>
          <w:rFonts w:cs="DejaVuSerifCondensed-Bold"/>
          <w:b/>
          <w:bCs/>
          <w:color w:val="505050"/>
        </w:rPr>
        <w:t xml:space="preserve"> studiati dagli autori sono stati suddivisi in tre aree:</w:t>
      </w:r>
      <w:r w:rsid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esiti clinici,</w:t>
      </w:r>
      <w:r w:rsidR="00B9370A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processi,</w:t>
      </w:r>
      <w:r w:rsidR="00B9370A" w:rsidRPr="00B9370A">
        <w:rPr>
          <w:rFonts w:cs="DejaVuSerifCondensed-Bold"/>
          <w:b/>
          <w:bCs/>
          <w:color w:val="505050"/>
        </w:rPr>
        <w:t xml:space="preserve"> </w:t>
      </w:r>
      <w:r w:rsidRPr="00B9370A">
        <w:rPr>
          <w:rFonts w:cs="DejaVuSerifCondensed-Bold"/>
          <w:b/>
          <w:bCs/>
          <w:color w:val="505050"/>
        </w:rPr>
        <w:t>performance finanziaria e produttività</w:t>
      </w:r>
      <w:r w:rsidRPr="00B9370A">
        <w:rPr>
          <w:rFonts w:cs="DejaVuSerifCondensed"/>
          <w:b/>
          <w:color w:val="505050"/>
        </w:rPr>
        <w:t xml:space="preserve">. </w:t>
      </w:r>
    </w:p>
    <w:p w:rsidR="00454AE6" w:rsidRDefault="00454AE6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  <w:u w:val="single"/>
        </w:rPr>
      </w:pP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D37913">
        <w:rPr>
          <w:rFonts w:cs="DejaVuSerifCondensed"/>
          <w:color w:val="505050"/>
          <w:u w:val="single"/>
        </w:rPr>
        <w:t>Nella prima area</w:t>
      </w:r>
      <w:r w:rsidRPr="00327338">
        <w:rPr>
          <w:rFonts w:cs="DejaVuSerifCondensed"/>
          <w:color w:val="505050"/>
        </w:rPr>
        <w:t xml:space="preserve"> il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confronto tra strutture accorpate e non, effettuato attraverso lo studio trasversale, non</w:t>
      </w:r>
      <w:r w:rsidR="00454AE6">
        <w:rPr>
          <w:rFonts w:cs="DejaVuSerifCondensed"/>
          <w:color w:val="505050"/>
        </w:rPr>
        <w:t xml:space="preserve"> evidenzia </w:t>
      </w:r>
      <w:r w:rsidRPr="00AE5329">
        <w:rPr>
          <w:rFonts w:cs="DejaVuSerifCondensed"/>
          <w:color w:val="505050"/>
        </w:rPr>
        <w:t>differenze statisticamente significative per gli indici di mortalità ospedaliera 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dimissioni entro 48 ore dei nuovi nati. Analogamente, lo studio longitudinale, non ha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mostrato una significativa riduzione di mortalità a 30 giorni per infarto miocardico, in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seguito all’accorpamento. </w:t>
      </w: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Al contrario, aumentano la mortalità a 30 giorni per ictus, il tasso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di riammissioni a 28 giorni per ictus e le riammissioni a 90 giorni per infarto miocardico nel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periodo successivo all’accorpamento. </w:t>
      </w:r>
    </w:p>
    <w:p w:rsidR="00327338" w:rsidRDefault="00327338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D37913">
        <w:rPr>
          <w:rFonts w:cs="DejaVuSerifCondensed"/>
          <w:color w:val="505050"/>
          <w:u w:val="single"/>
        </w:rPr>
        <w:t>Nella seconda area</w:t>
      </w:r>
      <w:r w:rsidRPr="00AE5329">
        <w:rPr>
          <w:rFonts w:cs="DejaVuSerifCondensed"/>
          <w:color w:val="505050"/>
        </w:rPr>
        <w:t>, il tempo di attesa medio e la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percentuale di pazienti in liste di attesa di durata superiore a 180 giorni, la percentuale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spesa per il management e la percentuale di spesa del personale a tempo determinato sono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incrementate dopo l’accorpamento. Il totale dei ricoveri, il totale del personale, dei posti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letto e la percentuale di personale qualificato risultano inferiori a seguito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dell’accorpamento. Nella terza area, le strutture ospedaliere, nel periodo successivo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all’accorpamento, mostrano riduzione della spesa totale nonostante la permanenza del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deficit e la non modificazione della produttività.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4C641F">
        <w:rPr>
          <w:rFonts w:cs="DejaVuSerifCondensed-Bold"/>
          <w:b/>
          <w:bCs/>
          <w:color w:val="505050"/>
        </w:rPr>
        <w:t>Dal punto di vista del rapporto tra popolazione servita e performance delle</w:t>
      </w:r>
      <w:r w:rsidR="00327338" w:rsidRPr="004C641F">
        <w:rPr>
          <w:rFonts w:cs="DejaVuSerifCondensed-Bold"/>
          <w:b/>
          <w:bCs/>
          <w:color w:val="505050"/>
        </w:rPr>
        <w:t xml:space="preserve"> </w:t>
      </w:r>
      <w:r w:rsidRPr="004C641F">
        <w:rPr>
          <w:rFonts w:cs="DejaVuSerifCondensed-Bold"/>
          <w:b/>
          <w:bCs/>
          <w:color w:val="505050"/>
        </w:rPr>
        <w:t>organizzazioni di assistenza primaria</w:t>
      </w:r>
      <w:r w:rsidRPr="004C641F">
        <w:rPr>
          <w:rFonts w:cs="DejaVuSerifCondensed"/>
          <w:b/>
          <w:color w:val="505050"/>
        </w:rPr>
        <w:t>,</w:t>
      </w:r>
      <w:r w:rsidRPr="00AE5329">
        <w:rPr>
          <w:rFonts w:cs="DejaVuSerifCondensed"/>
          <w:color w:val="505050"/>
        </w:rPr>
        <w:t xml:space="preserve"> da uno studio trasversale[</w:t>
      </w:r>
      <w:r w:rsidRPr="00AE5329">
        <w:rPr>
          <w:rFonts w:cs="DejaVuSerifCondensed"/>
          <w:color w:val="0000FF"/>
        </w:rPr>
        <w:t>11</w:t>
      </w:r>
      <w:r w:rsidRPr="00AE5329">
        <w:rPr>
          <w:rFonts w:cs="DejaVuSerifCondensed"/>
          <w:color w:val="505050"/>
        </w:rPr>
        <w:t>] che considera 152</w:t>
      </w:r>
      <w:r w:rsidR="00327338">
        <w:rPr>
          <w:rFonts w:cs="DejaVuSerifCondensed"/>
          <w:color w:val="505050"/>
        </w:rPr>
        <w:t xml:space="preserve"> </w:t>
      </w:r>
      <w:proofErr w:type="spellStart"/>
      <w:r w:rsidRPr="00AE5329">
        <w:rPr>
          <w:rFonts w:cs="DejaVuSerifCondensed-Italic"/>
          <w:i/>
          <w:iCs/>
          <w:color w:val="505050"/>
        </w:rPr>
        <w:t>Primary</w:t>
      </w:r>
      <w:proofErr w:type="spellEnd"/>
      <w:r w:rsidRPr="00AE5329">
        <w:rPr>
          <w:rFonts w:cs="DejaVuSerifCondensed-Italic"/>
          <w:i/>
          <w:iCs/>
          <w:color w:val="505050"/>
        </w:rPr>
        <w:t xml:space="preserve"> Care Trust</w:t>
      </w:r>
      <w:r w:rsidRPr="00AE5329">
        <w:rPr>
          <w:rFonts w:cs="DejaVuSerifCondensed"/>
          <w:color w:val="505050"/>
        </w:rPr>
        <w:t>, non emerge alcun risultato statisticamente significativo tra strutture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accorpate e non per quanto riguarda efficacia clinica, efficacia preventiva, esperienza del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paziente, accessibilità, performance finanziaria e coinvolgimento dei dipendenti. Nella</w:t>
      </w:r>
      <w:r w:rsidR="00327338">
        <w:rPr>
          <w:rFonts w:cs="DejaVuSerifCondensed"/>
          <w:color w:val="505050"/>
        </w:rPr>
        <w:t xml:space="preserve"> </w:t>
      </w:r>
      <w:proofErr w:type="spellStart"/>
      <w:r w:rsidRPr="00AE5329">
        <w:rPr>
          <w:rFonts w:cs="DejaVuSerifCondensed"/>
          <w:color w:val="505050"/>
        </w:rPr>
        <w:t>survey</w:t>
      </w:r>
      <w:proofErr w:type="spellEnd"/>
      <w:r w:rsidRPr="00AE5329">
        <w:rPr>
          <w:rFonts w:cs="DejaVuSerifCondensed"/>
          <w:color w:val="505050"/>
        </w:rPr>
        <w:t xml:space="preserve"> di </w:t>
      </w:r>
      <w:proofErr w:type="spellStart"/>
      <w:r w:rsidRPr="00AE5329">
        <w:rPr>
          <w:rFonts w:cs="DejaVuSerifCondensed"/>
          <w:color w:val="505050"/>
        </w:rPr>
        <w:t>Wilkin</w:t>
      </w:r>
      <w:proofErr w:type="spellEnd"/>
      <w:r w:rsidRPr="00AE5329">
        <w:rPr>
          <w:rFonts w:cs="DejaVuSerifCondensed"/>
          <w:color w:val="505050"/>
        </w:rPr>
        <w:t xml:space="preserve"> (</w:t>
      </w:r>
      <w:proofErr w:type="gramStart"/>
      <w:r w:rsidRPr="00AE5329">
        <w:rPr>
          <w:rFonts w:cs="DejaVuSerifCondensed"/>
          <w:color w:val="505050"/>
        </w:rPr>
        <w:t>2003)[</w:t>
      </w:r>
      <w:proofErr w:type="gramEnd"/>
      <w:r w:rsidRPr="00AE5329">
        <w:rPr>
          <w:rFonts w:cs="DejaVuSerifCondensed"/>
          <w:color w:val="0000FF"/>
        </w:rPr>
        <w:t>12</w:t>
      </w:r>
      <w:r w:rsidRPr="00AE5329">
        <w:rPr>
          <w:rFonts w:cs="DejaVuSerifCondensed"/>
          <w:color w:val="505050"/>
        </w:rPr>
        <w:t>], emerge che solo due su ventitré indicatori di performance</w:t>
      </w:r>
      <w:r w:rsidR="00D37913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indagati, maggiore probabilità di iniziative per estendere i servizi di assistenza primaria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disponibili e maggiore probabilità di iniziative nell’assistenza intermedia, mostrano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correlazione positiva con le dimensioni della popolazione servita.</w:t>
      </w:r>
    </w:p>
    <w:p w:rsidR="00327338" w:rsidRDefault="00327338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</w:p>
    <w:p w:rsid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D37913">
        <w:rPr>
          <w:rFonts w:cs="DejaVuSerifCondensed-Bold"/>
          <w:b/>
          <w:bCs/>
          <w:color w:val="505050"/>
          <w:u w:val="single"/>
        </w:rPr>
        <w:t>Il terzo focus</w:t>
      </w:r>
      <w:r w:rsidRPr="004C641F">
        <w:rPr>
          <w:rFonts w:cs="DejaVuSerifCondensed-Bold"/>
          <w:b/>
          <w:bCs/>
          <w:color w:val="505050"/>
        </w:rPr>
        <w:t xml:space="preserve"> ha evidenziato che oltre a “driver” di fusione aziendale</w:t>
      </w:r>
      <w:r w:rsidR="00327338" w:rsidRPr="004C641F">
        <w:rPr>
          <w:rFonts w:cs="DejaVuSerifCondensed-Bold"/>
          <w:b/>
          <w:bCs/>
          <w:color w:val="505050"/>
        </w:rPr>
        <w:t xml:space="preserve"> </w:t>
      </w:r>
      <w:r w:rsidRPr="004C641F">
        <w:rPr>
          <w:rFonts w:cs="DejaVuSerifCondensed-Bold"/>
          <w:b/>
          <w:bCs/>
          <w:color w:val="505050"/>
        </w:rPr>
        <w:t>specificamente esplicitati in documenti aziendali ufficiali pubblicamente</w:t>
      </w:r>
      <w:r w:rsidR="00327338" w:rsidRPr="004C641F">
        <w:rPr>
          <w:rFonts w:cs="DejaVuSerifCondensed-Bold"/>
          <w:b/>
          <w:bCs/>
          <w:color w:val="505050"/>
        </w:rPr>
        <w:t xml:space="preserve"> </w:t>
      </w:r>
      <w:r w:rsidRPr="004C641F">
        <w:rPr>
          <w:rFonts w:cs="DejaVuSerifCondensed-Bold"/>
          <w:b/>
          <w:bCs/>
          <w:color w:val="505050"/>
        </w:rPr>
        <w:t>accessibili, esistono anche motivazioni non ufficialmente dichiarate che emergono</w:t>
      </w:r>
      <w:r w:rsidR="00327338" w:rsidRPr="004C641F">
        <w:rPr>
          <w:rFonts w:cs="DejaVuSerifCondensed-Bold"/>
          <w:b/>
          <w:bCs/>
          <w:color w:val="505050"/>
        </w:rPr>
        <w:t xml:space="preserve"> </w:t>
      </w:r>
      <w:r w:rsidRPr="004C641F">
        <w:rPr>
          <w:rFonts w:cs="DejaVuSerifCondensed-Bold"/>
          <w:b/>
          <w:bCs/>
          <w:color w:val="505050"/>
        </w:rPr>
        <w:t>da interviste a top manager delle aziende</w:t>
      </w:r>
      <w:r w:rsidRPr="00AE5329">
        <w:rPr>
          <w:rFonts w:cs="DejaVuSerifCondensed"/>
          <w:color w:val="505050"/>
        </w:rPr>
        <w:t>. Così, alle ragioni dichiarate nei documenti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aziendali quali: voler investire in servizi per pazienti risparmiando da costi derivanti dal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management, salvaguardare unità specialistiche, garantire lo sviluppo di servizi e garantire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la qualità, migliorare le prospettive delle condizioni e carriera dello staff, supportare lo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sviluppo di aziende di assistenza primaria; si aggiungono ragioni non ufficialmente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dichiarate, come l’imposizione di nuovi regimi manageriali da parte delle autorità locali 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dall’NHS, la contrattazione di riduzioni di deficit e la risposta a lobby di stakeholder[</w:t>
      </w:r>
      <w:r w:rsidRPr="00AE5329">
        <w:rPr>
          <w:rFonts w:cs="DejaVuSerifCondensed"/>
          <w:color w:val="0000FF"/>
        </w:rPr>
        <w:t>8</w:t>
      </w:r>
      <w:r w:rsidRPr="00AE5329">
        <w:rPr>
          <w:rFonts w:cs="DejaVuSerifCondensed"/>
          <w:color w:val="505050"/>
        </w:rPr>
        <w:t>].</w:t>
      </w:r>
      <w:r w:rsidR="00D37913">
        <w:rPr>
          <w:rFonts w:cs="DejaVuSerifCondensed"/>
          <w:color w:val="505050"/>
        </w:rPr>
        <w:t xml:space="preserve"> </w:t>
      </w:r>
    </w:p>
    <w:p w:rsidR="00D37913" w:rsidRPr="00AE5329" w:rsidRDefault="00D37913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4C641F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4C641F">
        <w:rPr>
          <w:rFonts w:cs="DejaVuSerifCondensed-Bold"/>
          <w:b/>
          <w:bCs/>
          <w:color w:val="505050"/>
        </w:rPr>
        <w:t>Risultati contrastanti, emergono anche dall’analisi dell’ultimo focus, relativo alla</w:t>
      </w:r>
      <w:r w:rsidR="00327338" w:rsidRPr="004C641F">
        <w:rPr>
          <w:rFonts w:cs="DejaVuSerifCondensed-Bold"/>
          <w:b/>
          <w:bCs/>
          <w:color w:val="505050"/>
        </w:rPr>
        <w:t xml:space="preserve"> </w:t>
      </w:r>
      <w:r w:rsidRPr="004C641F">
        <w:rPr>
          <w:rFonts w:cs="DejaVuSerifCondensed-Bold"/>
          <w:b/>
          <w:bCs/>
          <w:color w:val="505050"/>
        </w:rPr>
        <w:t xml:space="preserve">percezione e soddisfazione dello staff, provenienti da due </w:t>
      </w:r>
      <w:proofErr w:type="spellStart"/>
      <w:proofErr w:type="gramStart"/>
      <w:r w:rsidRPr="004C641F">
        <w:rPr>
          <w:rFonts w:cs="DejaVuSerifCondensed-Bold"/>
          <w:b/>
          <w:bCs/>
          <w:color w:val="505050"/>
        </w:rPr>
        <w:t>survey</w:t>
      </w:r>
      <w:proofErr w:type="spellEnd"/>
      <w:r w:rsidRPr="00AE5329">
        <w:rPr>
          <w:rFonts w:cs="DejaVuSerifCondensed"/>
          <w:color w:val="505050"/>
        </w:rPr>
        <w:t>[</w:t>
      </w:r>
      <w:proofErr w:type="gramEnd"/>
      <w:r w:rsidRPr="00AE5329">
        <w:rPr>
          <w:rFonts w:cs="DejaVuSerifCondensed"/>
          <w:color w:val="0000FF"/>
        </w:rPr>
        <w:t>8, 13</w:t>
      </w:r>
      <w:r w:rsidRPr="00AE5329">
        <w:rPr>
          <w:rFonts w:cs="DejaVuSerifCondensed"/>
          <w:color w:val="505050"/>
        </w:rPr>
        <w:t xml:space="preserve">]. </w:t>
      </w:r>
    </w:p>
    <w:p w:rsidR="00327338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Se, infatti,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l’accorpamento di strutture sanitarie sembra portare ad un aumento dell’autonomia del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ruolo dei professionisti, con possibilità di esprimersi in merito a piani d’innovazione 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cambiamento, dall’altro lato, esso determina percezione di peggioramento nell’erogazione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servizi a danno del paziente, differente percezione della cultura organizzativa tra le</w:t>
      </w:r>
      <w:r w:rsidR="00D37913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organizzazioni accorpate, una condizione di “under-management” ovvero perdita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controllo manageriale su direzioni strategiche e su operazioni giornaliere con accumulo di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ritardi negli incontri operativi tra senior e middle management. 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Si sottolinea inoltre il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rischio che l’accorpamento possa comportare nel personale stress, causato da cambiamenti,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incertezze e aumento del carico di lavoro e una interiorizzata percezione di «acquisizione»,</w:t>
      </w:r>
    </w:p>
    <w:p w:rsid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proofErr w:type="gramStart"/>
      <w:r w:rsidRPr="00AE5329">
        <w:rPr>
          <w:rFonts w:cs="DejaVuSerifCondensed"/>
          <w:color w:val="505050"/>
        </w:rPr>
        <w:t>ovvero</w:t>
      </w:r>
      <w:proofErr w:type="gramEnd"/>
      <w:r w:rsidRPr="00AE5329">
        <w:rPr>
          <w:rFonts w:cs="DejaVuSerifCondensed"/>
          <w:color w:val="505050"/>
        </w:rPr>
        <w:t xml:space="preserve"> sensazione di essere divenuto elemento acquisito da parte di una delle aziende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accorpate (la maggior parte dei dirigenti, proveniva da una sola delle aziende costituenti).</w:t>
      </w:r>
    </w:p>
    <w:p w:rsidR="00D37913" w:rsidRPr="00AE5329" w:rsidRDefault="00D37913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454AE6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C05DC2">
        <w:rPr>
          <w:rFonts w:cs="DejaVuSerifCondensed-Bold"/>
          <w:b/>
          <w:bCs/>
          <w:color w:val="505050"/>
        </w:rPr>
        <w:t>Al momento le evidenze sull’impatto degli accorpamenti sono contrastanti e ciò che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emerge è che non esiste automatismo tra l’aumento delle dimensioni dei bacini di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utenza e miglioramenti nella performance delle aziende o nelle economie di scala e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 xml:space="preserve">che l’accorpamento in sé non è condizione necessaria né </w:t>
      </w:r>
      <w:r w:rsidR="00D37913">
        <w:rPr>
          <w:rFonts w:cs="DejaVuSerifCondensed-Bold"/>
          <w:b/>
          <w:bCs/>
          <w:color w:val="505050"/>
        </w:rPr>
        <w:t>s</w:t>
      </w:r>
      <w:r w:rsidRPr="00C05DC2">
        <w:rPr>
          <w:rFonts w:cs="DejaVuSerifCondensed-Bold"/>
          <w:b/>
          <w:bCs/>
          <w:color w:val="505050"/>
        </w:rPr>
        <w:t>ufficiente per realizzare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integrazione dell’assistenza sanitaria</w:t>
      </w:r>
      <w:r w:rsidRPr="00AE5329">
        <w:rPr>
          <w:rFonts w:cs="DejaVuSerifCondensed"/>
          <w:color w:val="505050"/>
        </w:rPr>
        <w:t>[</w:t>
      </w:r>
      <w:r w:rsidRPr="00AE5329">
        <w:rPr>
          <w:rFonts w:cs="DejaVuSerifCondensed"/>
          <w:color w:val="0000FF"/>
        </w:rPr>
        <w:t>14</w:t>
      </w:r>
      <w:r w:rsidRPr="00AE5329">
        <w:rPr>
          <w:rFonts w:cs="DejaVuSerifCondensed"/>
          <w:color w:val="505050"/>
        </w:rPr>
        <w:t xml:space="preserve">]. 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lastRenderedPageBreak/>
        <w:t>L’integrazione può essere perseguita, infatti,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tramite modelli organizzativi che presentano evidenze scientifiche a supporto, come:</w:t>
      </w:r>
    </w:p>
    <w:p w:rsid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  <w:r w:rsidRPr="00AE5329">
        <w:rPr>
          <w:rFonts w:cs="DejaVuSerifCondensed"/>
          <w:color w:val="505050"/>
        </w:rPr>
        <w:t>creazione di reti di assistenza (network di provider che lavorano insieme per fornire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assistenza integrata e di alta qualità al fine di ridurre la frammentazione), sviluppo di piani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individuali di assistenziali personalizzati, funzione di case management, co-locazione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(professionisti appartenenti ad organizzazioni e/o forme contrattuali diverse che lavorano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insieme e nello stesso luogo fisico per offrire il loro servizio), </w:t>
      </w:r>
      <w:proofErr w:type="spellStart"/>
      <w:r w:rsidRPr="00AE5329">
        <w:rPr>
          <w:rFonts w:cs="DejaVuSerifCondensed-Italic"/>
          <w:i/>
          <w:iCs/>
          <w:color w:val="505050"/>
        </w:rPr>
        <w:t>disease</w:t>
      </w:r>
      <w:proofErr w:type="spellEnd"/>
      <w:r w:rsidRPr="00AE5329">
        <w:rPr>
          <w:rFonts w:cs="DejaVuSerifCondensed-Italic"/>
          <w:i/>
          <w:iCs/>
          <w:color w:val="505050"/>
        </w:rPr>
        <w:t xml:space="preserve"> management</w:t>
      </w:r>
      <w:r w:rsidRPr="00AE5329">
        <w:rPr>
          <w:rFonts w:cs="DejaVuSerifCondensed"/>
          <w:color w:val="505050"/>
        </w:rPr>
        <w:t>, percorsi</w:t>
      </w:r>
      <w:r w:rsidR="00327338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 xml:space="preserve">assistenziali integrati, lavoro in team </w:t>
      </w:r>
      <w:proofErr w:type="spellStart"/>
      <w:r w:rsidRPr="00AE5329">
        <w:rPr>
          <w:rFonts w:cs="DejaVuSerifCondensed"/>
          <w:color w:val="505050"/>
        </w:rPr>
        <w:t>multiprofessionale</w:t>
      </w:r>
      <w:proofErr w:type="spellEnd"/>
      <w:r w:rsidRPr="00AE5329">
        <w:rPr>
          <w:rFonts w:cs="DejaVuSerifCondensed"/>
          <w:color w:val="505050"/>
        </w:rPr>
        <w:t xml:space="preserve">-multidisciplinare, </w:t>
      </w:r>
      <w:proofErr w:type="spellStart"/>
      <w:r w:rsidRPr="00AE5329">
        <w:rPr>
          <w:rFonts w:cs="DejaVuSerifCondensed-Italic"/>
          <w:i/>
          <w:iCs/>
          <w:color w:val="505050"/>
        </w:rPr>
        <w:t>virtual</w:t>
      </w:r>
      <w:proofErr w:type="spellEnd"/>
      <w:r w:rsidRPr="00AE5329">
        <w:rPr>
          <w:rFonts w:cs="DejaVuSerifCondensed-Italic"/>
          <w:i/>
          <w:iCs/>
          <w:color w:val="505050"/>
        </w:rPr>
        <w:t xml:space="preserve"> </w:t>
      </w:r>
      <w:proofErr w:type="spellStart"/>
      <w:r w:rsidRPr="00AE5329">
        <w:rPr>
          <w:rFonts w:cs="DejaVuSerifCondensed-Italic"/>
          <w:i/>
          <w:iCs/>
          <w:color w:val="505050"/>
        </w:rPr>
        <w:t>wards</w:t>
      </w:r>
      <w:proofErr w:type="spellEnd"/>
      <w:r w:rsidR="00327338">
        <w:rPr>
          <w:rFonts w:cs="DejaVuSerifCondensed-Italic"/>
          <w:i/>
          <w:iCs/>
          <w:color w:val="505050"/>
        </w:rPr>
        <w:t xml:space="preserve"> </w:t>
      </w:r>
      <w:r w:rsidRPr="00AE5329">
        <w:rPr>
          <w:rFonts w:cs="DejaVuSerifCondensed"/>
          <w:color w:val="505050"/>
        </w:rPr>
        <w:t>(combinazione dell’azione di case management con quella di team multidisciplinari</w:t>
      </w:r>
      <w:r w:rsidR="00454AE6">
        <w:rPr>
          <w:rFonts w:cs="DejaVuSerifCondensed"/>
          <w:color w:val="505050"/>
        </w:rPr>
        <w:t xml:space="preserve"> </w:t>
      </w:r>
      <w:proofErr w:type="spellStart"/>
      <w:r w:rsidRPr="00AE5329">
        <w:rPr>
          <w:rFonts w:cs="DejaVuSerifCondensed"/>
          <w:color w:val="505050"/>
        </w:rPr>
        <w:t>multiprofessionali</w:t>
      </w:r>
      <w:proofErr w:type="spellEnd"/>
      <w:r w:rsidRPr="00AE5329">
        <w:rPr>
          <w:rFonts w:cs="DejaVuSerifCondensed"/>
          <w:color w:val="505050"/>
        </w:rPr>
        <w:t>)</w:t>
      </w:r>
      <w:r w:rsidR="00454AE6">
        <w:rPr>
          <w:rFonts w:cs="DejaVuSerifCondensed"/>
          <w:color w:val="505050"/>
        </w:rPr>
        <w:t xml:space="preserve"> </w:t>
      </w:r>
      <w:r w:rsidRPr="00AE5329">
        <w:rPr>
          <w:rFonts w:cs="DejaVuSerifCondensed"/>
          <w:color w:val="505050"/>
        </w:rPr>
        <w:t>[</w:t>
      </w:r>
      <w:r w:rsidRPr="00AE5329">
        <w:rPr>
          <w:rFonts w:cs="DejaVuSerifCondensed"/>
          <w:color w:val="0000FF"/>
        </w:rPr>
        <w:t>15</w:t>
      </w:r>
      <w:r w:rsidRPr="00AE5329">
        <w:rPr>
          <w:rFonts w:cs="DejaVuSerifCondensed"/>
          <w:color w:val="505050"/>
        </w:rPr>
        <w:t>].</w:t>
      </w:r>
    </w:p>
    <w:p w:rsidR="00D37913" w:rsidRPr="00AE5329" w:rsidRDefault="00D37913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color w:val="505050"/>
        </w:rPr>
      </w:pPr>
    </w:p>
    <w:p w:rsidR="00327338" w:rsidRPr="00C05DC2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/>
          <w:bCs/>
          <w:color w:val="505050"/>
        </w:rPr>
      </w:pPr>
      <w:r w:rsidRPr="00C05DC2">
        <w:rPr>
          <w:rFonts w:cs="DejaVuSerifCondensed-Bold"/>
          <w:b/>
          <w:bCs/>
          <w:color w:val="505050"/>
        </w:rPr>
        <w:t>In conclusione, le evidenze empiriche di beneficio nella performance ed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economicità dovute agli accorpamenti sono scarse e l’incremento della dimensione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organizzativa produce una maggiore “distanza” tra vertice strategico e linee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operative con conseguente aumento di costi di integrazione legati alla necessaria</w:t>
      </w:r>
      <w:r w:rsidR="00327338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espansione delle funzioni di middle management.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r w:rsidRPr="00AE5329">
        <w:rPr>
          <w:rFonts w:cs="DejaVuSerifCondensed-Bold"/>
          <w:bCs/>
          <w:color w:val="505050"/>
        </w:rPr>
        <w:t>Procedere in un processo di</w:t>
      </w:r>
      <w:r w:rsidR="00327338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accorpamento non significa esclusivamente assumere una decisione di politica sanitaria da</w:t>
      </w:r>
      <w:r w:rsidR="00327338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perpetrarsi “a freddo”, a costo zero e con realizzazione di effetti immediati. Esso richiede un</w:t>
      </w:r>
      <w:r w:rsidR="00454AE6">
        <w:rPr>
          <w:rFonts w:cs="DejaVuSerifCondensed-Bold"/>
          <w:bCs/>
          <w:color w:val="505050"/>
        </w:rPr>
        <w:t xml:space="preserve"> accompagnamento </w:t>
      </w:r>
      <w:r w:rsidRPr="00AE5329">
        <w:rPr>
          <w:rFonts w:cs="DejaVuSerifCondensed-Bold"/>
          <w:bCs/>
          <w:color w:val="505050"/>
        </w:rPr>
        <w:t>culturale e tecnico dell’organizzazione che consenta la realizzazione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dell’integrazione dei processi assistenziali e normo-tecnici in condizioni di maggiore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complessità.</w:t>
      </w:r>
    </w:p>
    <w:p w:rsidR="00163730" w:rsidRDefault="00163730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r w:rsidRPr="00C05DC2">
        <w:rPr>
          <w:rFonts w:cs="DejaVuSerifCondensed-Bold"/>
          <w:b/>
          <w:bCs/>
          <w:color w:val="505050"/>
        </w:rPr>
        <w:t>Tale intervento tecnico consiste nella duplice azione sulla leva formativa ed</w:t>
      </w:r>
      <w:r w:rsidR="00163730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informativa, con conseguenti investimenti.</w:t>
      </w:r>
      <w:r w:rsidRPr="00AE5329">
        <w:rPr>
          <w:rFonts w:cs="DejaVuSerifCondensed-Bold"/>
          <w:bCs/>
          <w:color w:val="505050"/>
        </w:rPr>
        <w:t xml:space="preserve"> La prima azione comporta la qualificazione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dei professionisti per operare in condizioni di cambiamento organizzativo e lo sviluppo di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funzioni di staff volte al controllo di processi trasversali ampliati. La seconda azione prevede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lo sviluppo di infrastrutture informativo-informatizzate per la gestione clinico-assistenziale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dei pazienti capillarmente personalizzata.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r w:rsidRPr="00C05DC2">
        <w:rPr>
          <w:rFonts w:cs="DejaVuSerifCondensed-Bold"/>
          <w:b/>
          <w:bCs/>
          <w:color w:val="505050"/>
        </w:rPr>
        <w:t>Inoltre, si rende necessaria l’attivazione di un ciclo di valutazione di una policy che</w:t>
      </w:r>
      <w:r w:rsidR="00163730" w:rsidRPr="00C05DC2">
        <w:rPr>
          <w:rFonts w:cs="DejaVuSerifCondensed-Bold"/>
          <w:b/>
          <w:b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>sottende un cambiamento organizzativo così complesso in una prospettiva di</w:t>
      </w:r>
      <w:r w:rsidR="00163730" w:rsidRPr="00C05DC2">
        <w:rPr>
          <w:rFonts w:cs="DejaVuSerifCondensed-Bold"/>
          <w:b/>
          <w:bCs/>
          <w:color w:val="505050"/>
        </w:rPr>
        <w:t xml:space="preserve"> </w:t>
      </w:r>
      <w:proofErr w:type="spellStart"/>
      <w:r w:rsidRPr="00C05DC2">
        <w:rPr>
          <w:rFonts w:cs="DejaVuSerifCondensed-BoldItalic"/>
          <w:b/>
          <w:bCs/>
          <w:i/>
          <w:iCs/>
          <w:color w:val="505050"/>
        </w:rPr>
        <w:t>accountability</w:t>
      </w:r>
      <w:proofErr w:type="spellEnd"/>
      <w:r w:rsidRPr="00C05DC2">
        <w:rPr>
          <w:rFonts w:cs="DejaVuSerifCondensed-BoldItalic"/>
          <w:b/>
          <w:bCs/>
          <w:i/>
          <w:iCs/>
          <w:color w:val="505050"/>
        </w:rPr>
        <w:t xml:space="preserve"> </w:t>
      </w:r>
      <w:r w:rsidRPr="00C05DC2">
        <w:rPr>
          <w:rFonts w:cs="DejaVuSerifCondensed-Bold"/>
          <w:b/>
          <w:bCs/>
          <w:color w:val="505050"/>
        </w:rPr>
        <w:t xml:space="preserve">dei </w:t>
      </w:r>
      <w:r w:rsidRPr="00C05DC2">
        <w:rPr>
          <w:rFonts w:cs="DejaVuSerifCondensed-BoldItalic"/>
          <w:b/>
          <w:bCs/>
          <w:i/>
          <w:iCs/>
          <w:color w:val="505050"/>
        </w:rPr>
        <w:t>policy maker</w:t>
      </w:r>
      <w:r w:rsidRPr="00AE5329">
        <w:rPr>
          <w:rFonts w:cs="DejaVuSerifCondensed-Bold"/>
          <w:bCs/>
          <w:color w:val="505050"/>
        </w:rPr>
        <w:t>. Questi sono tenuti a rendere conto della tutela della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salute dei cittadini congiuntamente alla responsabilità dei professionisti, interpretata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 xml:space="preserve">secondo logiche di </w:t>
      </w:r>
      <w:proofErr w:type="spellStart"/>
      <w:r w:rsidRPr="00AE5329">
        <w:rPr>
          <w:rFonts w:cs="DejaVuSerifCondensed-Italic"/>
          <w:bCs/>
          <w:i/>
          <w:iCs/>
          <w:color w:val="505050"/>
        </w:rPr>
        <w:t>clinical</w:t>
      </w:r>
      <w:proofErr w:type="spellEnd"/>
      <w:r w:rsidRPr="00AE5329">
        <w:rPr>
          <w:rFonts w:cs="DejaVuSerifCondensed-Italic"/>
          <w:bCs/>
          <w:i/>
          <w:iCs/>
          <w:color w:val="505050"/>
        </w:rPr>
        <w:t xml:space="preserve"> </w:t>
      </w:r>
      <w:proofErr w:type="spellStart"/>
      <w:r w:rsidRPr="00AE5329">
        <w:rPr>
          <w:rFonts w:cs="DejaVuSerifCondensed-Italic"/>
          <w:bCs/>
          <w:i/>
          <w:iCs/>
          <w:color w:val="505050"/>
        </w:rPr>
        <w:t>governance</w:t>
      </w:r>
      <w:proofErr w:type="spellEnd"/>
      <w:r w:rsidRPr="00AE5329">
        <w:rPr>
          <w:rFonts w:cs="DejaVuSerifCondensed-Bold"/>
          <w:bCs/>
          <w:color w:val="505050"/>
        </w:rPr>
        <w:t>, e degli assistiti sempre più impegnati in azioni di</w:t>
      </w:r>
      <w:r w:rsidR="00163730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“engagement” nei processi di assistenza</w:t>
      </w:r>
      <w:r w:rsidR="00FD416D">
        <w:rPr>
          <w:rFonts w:cs="DejaVuSerifCondensed-Bold"/>
          <w:bCs/>
          <w:color w:val="505050"/>
        </w:rPr>
        <w:t xml:space="preserve"> </w:t>
      </w:r>
      <w:r w:rsidRPr="00AE5329">
        <w:rPr>
          <w:rFonts w:cs="DejaVuSerifCondensed-Bold"/>
          <w:bCs/>
          <w:color w:val="505050"/>
        </w:rPr>
        <w:t>[</w:t>
      </w:r>
      <w:r w:rsidRPr="00AE5329">
        <w:rPr>
          <w:rFonts w:cs="DejaVuSerifCondensed-Bold"/>
          <w:bCs/>
          <w:color w:val="0000FF"/>
        </w:rPr>
        <w:t>16, 17</w:t>
      </w:r>
      <w:r w:rsidRPr="00AE5329">
        <w:rPr>
          <w:rFonts w:cs="DejaVuSerifCondensed-Bold"/>
          <w:bCs/>
          <w:color w:val="505050"/>
        </w:rPr>
        <w:t>].</w:t>
      </w:r>
    </w:p>
    <w:p w:rsidR="00163730" w:rsidRDefault="00163730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</w:p>
    <w:p w:rsidR="00AE5329" w:rsidRPr="00DF47B4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Bibliografia</w:t>
      </w:r>
      <w:proofErr w:type="spellEnd"/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 xml:space="preserve">Gaynor M,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Laudicella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M</w:t>
      </w:r>
      <w:proofErr w:type="gramStart"/>
      <w:r w:rsidRPr="00AE5329">
        <w:rPr>
          <w:rFonts w:cs="DejaVuSerifCondensed-Bold"/>
          <w:bCs/>
          <w:color w:val="505050"/>
          <w:lang w:val="en-US"/>
        </w:rPr>
        <w:t>,,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Propper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C. Can governments do it better? Merger mania and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hospital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outcomes in the English NHS. Journal of Health Economics 2012; 31: 528-543.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Goddard M, Ferguson B. Merger in the NHS, Made in Heaven or Marriage of convenience?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Nuffield Occasional Papers Health Economics Series: Paper No. 1, Nuffield Trust 1997.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 xml:space="preserve">Berg JE,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Grimeland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J. Leadership by fragmented destruction after a merger: an example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from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a facility of acute psychiatry. Mental Illness 2013; 5:e11.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Schmid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A,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Varkevisser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>. Hospital merger control in Germany, the Netherlands and England: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Experiences and challenges. Health Policy 2016.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r w:rsidRPr="00AE5329">
        <w:rPr>
          <w:rFonts w:cs="DejaVuSerifCondensed-Bold"/>
          <w:bCs/>
          <w:color w:val="505050"/>
        </w:rPr>
        <w:t>«Annuario Statistico del Servizio Sanitario Nazionale-Ministero della Salute»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r w:rsidRPr="00AE5329">
        <w:rPr>
          <w:rFonts w:cs="DejaVuSerifCondensed-Bold"/>
          <w:bCs/>
          <w:color w:val="505050"/>
        </w:rPr>
        <w:t xml:space="preserve">Dati Elaborazione </w:t>
      </w:r>
      <w:proofErr w:type="spellStart"/>
      <w:r w:rsidRPr="00AE5329">
        <w:rPr>
          <w:rFonts w:cs="DejaVuSerifCondensed-Bold"/>
          <w:bCs/>
          <w:color w:val="505050"/>
        </w:rPr>
        <w:t>Fiaso</w:t>
      </w:r>
      <w:proofErr w:type="spellEnd"/>
      <w:r w:rsidRPr="00AE5329">
        <w:rPr>
          <w:rFonts w:cs="DejaVuSerifCondensed-Bold"/>
          <w:bCs/>
          <w:color w:val="505050"/>
        </w:rPr>
        <w:t>.</w:t>
      </w:r>
    </w:p>
    <w:p w:rsidR="00AE5329" w:rsidRPr="00AE5329" w:rsidRDefault="00DF47B4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r w:rsidRPr="00AE5329">
        <w:rPr>
          <w:rFonts w:cs="DejaVuSerifCondensed-Bold"/>
          <w:bCs/>
          <w:color w:val="505050"/>
        </w:rPr>
        <w:t xml:space="preserve"> </w:t>
      </w:r>
      <w:r w:rsidR="00AE5329" w:rsidRPr="00AE5329">
        <w:rPr>
          <w:rFonts w:cs="DejaVuSerifCondensed-Bold"/>
          <w:bCs/>
          <w:color w:val="505050"/>
        </w:rPr>
        <w:t>“</w:t>
      </w:r>
      <w:proofErr w:type="spellStart"/>
      <w:r w:rsidR="00AE5329" w:rsidRPr="00AE5329">
        <w:rPr>
          <w:rFonts w:cs="DejaVuSerifCondensed-Bold"/>
          <w:bCs/>
          <w:color w:val="505050"/>
        </w:rPr>
        <w:t>Agenas</w:t>
      </w:r>
      <w:proofErr w:type="spellEnd"/>
      <w:r w:rsidR="00AE5329" w:rsidRPr="00AE5329">
        <w:rPr>
          <w:rFonts w:cs="DejaVuSerifCondensed-Bold"/>
          <w:bCs/>
          <w:color w:val="505050"/>
        </w:rPr>
        <w:t xml:space="preserve"> 2015” e “Distretti e ASL 1 gennaio 2017” Bellentani DGPROGS Ministero della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Salute».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Fulop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N, Protopsaltis G, King A, Allen P, Hutchings A,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Normanda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C. Changing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organisations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>: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a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study of the context and processes of mergers of health care providers in England. Social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Science &amp; Medicine 2005; 60: 119–130.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Fulop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N, Protopsaltis G, Hutchings A, King A, Allen P, Normand C, Walters R. Process and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impact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of mergers of NHS trusts: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multicentre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case study and management cost analysis.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BMJ 2002</w:t>
      </w:r>
      <w:proofErr w:type="gramStart"/>
      <w:r w:rsidRPr="00AE5329">
        <w:rPr>
          <w:rFonts w:cs="DejaVuSerifCondensed-Bold"/>
          <w:bCs/>
          <w:color w:val="505050"/>
          <w:lang w:val="en-US"/>
        </w:rPr>
        <w:t>;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325(7358):246.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Ho V, Hamilton BH. Hospital mergers and acquisitions: does market consolidation harm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patients</w:t>
      </w:r>
      <w:proofErr w:type="gramEnd"/>
      <w:r w:rsidRPr="00AE5329">
        <w:rPr>
          <w:rFonts w:cs="DejaVuSerifCondensed-Bold"/>
          <w:bCs/>
          <w:color w:val="505050"/>
          <w:lang w:val="en-US"/>
        </w:rPr>
        <w:t>? Journal Health Economics, 2000.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lastRenderedPageBreak/>
        <w:t xml:space="preserve">Greaves F, Millett C, Pape UJ,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Soljak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M,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Majeed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A. Association between primary care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proofErr w:type="gramStart"/>
      <w:r w:rsidRPr="00AE5329">
        <w:rPr>
          <w:rFonts w:cs="DejaVuSerifCondensed-Bold"/>
          <w:bCs/>
          <w:color w:val="505050"/>
          <w:lang w:val="en-US"/>
        </w:rPr>
        <w:t>organisation</w:t>
      </w:r>
      <w:proofErr w:type="spellEnd"/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population size and quality of commissioning in England: an observational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study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. Br J Gen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Pract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2012.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 xml:space="preserve">Wilkin D,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Bojke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C, Coleman A,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Gravelle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H. The relationship between size and performance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of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primary care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organisations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in England. J Health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Serv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Res Policy 2003</w:t>
      </w:r>
      <w:proofErr w:type="gramStart"/>
      <w:r w:rsidRPr="00AE5329">
        <w:rPr>
          <w:rFonts w:cs="DejaVuSerifCondensed-Bold"/>
          <w:bCs/>
          <w:color w:val="505050"/>
          <w:lang w:val="en-US"/>
        </w:rPr>
        <w:t>;8</w:t>
      </w:r>
      <w:proofErr w:type="gramEnd"/>
      <w:r w:rsidRPr="00AE5329">
        <w:rPr>
          <w:rFonts w:cs="DejaVuSerifCondensed-Bold"/>
          <w:bCs/>
          <w:color w:val="505050"/>
          <w:lang w:val="en-US"/>
        </w:rPr>
        <w:t>(1):11-7.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Ovseiko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PV, Melham K, Fowler J, Buchan AM.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Organisational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culture and post-merger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integration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in an academic health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centre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>: a mixed-methods study. BMC Health Services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Research 2015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 xml:space="preserve">Wilkin D,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Bojke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C, Coleman A,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Gravelle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H. The relationship between size and performance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of</w:t>
      </w:r>
      <w:proofErr w:type="gramEnd"/>
      <w:r w:rsidRPr="00AE5329">
        <w:rPr>
          <w:rFonts w:cs="DejaVuSerifCondensed-Bold"/>
          <w:bCs/>
          <w:color w:val="505050"/>
          <w:lang w:val="en-US"/>
        </w:rPr>
        <w:t xml:space="preserve"> primary care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organisations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in England. Journal of Health Services Research &amp; Policy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gramStart"/>
      <w:r w:rsidRPr="00AE5329">
        <w:rPr>
          <w:rFonts w:cs="DejaVuSerifCondensed-Bold"/>
          <w:bCs/>
          <w:color w:val="505050"/>
          <w:lang w:val="en-US"/>
        </w:rPr>
        <w:t>12003</w:t>
      </w:r>
      <w:proofErr w:type="gramEnd"/>
      <w:r w:rsidRPr="00AE5329">
        <w:rPr>
          <w:rFonts w:cs="DejaVuSerifCondensed-Bold"/>
          <w:bCs/>
          <w:color w:val="505050"/>
          <w:lang w:val="en-US"/>
        </w:rPr>
        <w:t>; 8(1): 11–17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Integrating Services Without Structural Change, BMA, Health Policy &amp; Economic Research</w:t>
      </w:r>
    </w:p>
    <w:p w:rsidR="00AE5329" w:rsidRPr="00AE5329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AE5329">
        <w:rPr>
          <w:rFonts w:cs="DejaVuSerifCondensed-Bold"/>
          <w:bCs/>
          <w:color w:val="505050"/>
          <w:lang w:val="en-US"/>
        </w:rPr>
        <w:t>Unit, June 2012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Ortún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V. Primary care at the crossroads.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Gac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</w:t>
      </w:r>
      <w:proofErr w:type="spellStart"/>
      <w:r w:rsidRPr="00AE5329">
        <w:rPr>
          <w:rFonts w:cs="DejaVuSerifCondensed-Bold"/>
          <w:bCs/>
          <w:color w:val="505050"/>
          <w:lang w:val="en-US"/>
        </w:rPr>
        <w:t>Sanit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2013; 27(3):193–195</w:t>
      </w:r>
    </w:p>
    <w:p w:rsidR="00AE5329" w:rsidRPr="00AE5329" w:rsidRDefault="00AE5329" w:rsidP="00B93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</w:rPr>
      </w:pPr>
      <w:proofErr w:type="spellStart"/>
      <w:r w:rsidRPr="00AE5329">
        <w:rPr>
          <w:rFonts w:cs="DejaVuSerifCondensed-Bold"/>
          <w:bCs/>
          <w:color w:val="505050"/>
          <w:lang w:val="en-US"/>
        </w:rPr>
        <w:t>Howlett</w:t>
      </w:r>
      <w:proofErr w:type="spellEnd"/>
      <w:r w:rsidRPr="00AE5329">
        <w:rPr>
          <w:rFonts w:cs="DejaVuSerifCondensed-Bold"/>
          <w:bCs/>
          <w:color w:val="505050"/>
          <w:lang w:val="en-US"/>
        </w:rPr>
        <w:t xml:space="preserve"> M, Ramesh M. Studying public policy – policy cycles and policy subsystems. </w:t>
      </w:r>
      <w:r w:rsidRPr="00AE5329">
        <w:rPr>
          <w:rFonts w:cs="DejaVuSerifCondensed-Bold"/>
          <w:bCs/>
          <w:color w:val="505050"/>
        </w:rPr>
        <w:t>Oxford</w:t>
      </w:r>
    </w:p>
    <w:p w:rsidR="00AE5329" w:rsidRPr="00DF47B4" w:rsidRDefault="00AE5329" w:rsidP="00B9370A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-Bold"/>
          <w:bCs/>
          <w:color w:val="505050"/>
          <w:lang w:val="en-US"/>
        </w:rPr>
      </w:pPr>
      <w:r w:rsidRPr="00DF47B4">
        <w:rPr>
          <w:rFonts w:cs="DejaVuSerifCondensed-Bold"/>
          <w:bCs/>
          <w:color w:val="505050"/>
          <w:lang w:val="en-US"/>
        </w:rPr>
        <w:t>University Press, Toronto, New York, Oxford, 1995.</w:t>
      </w:r>
    </w:p>
    <w:sectPr w:rsidR="00AE5329" w:rsidRPr="00DF4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340"/>
    <w:multiLevelType w:val="hybridMultilevel"/>
    <w:tmpl w:val="092EA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131"/>
    <w:multiLevelType w:val="hybridMultilevel"/>
    <w:tmpl w:val="1896B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26C"/>
    <w:multiLevelType w:val="hybridMultilevel"/>
    <w:tmpl w:val="65FE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1AE"/>
    <w:multiLevelType w:val="hybridMultilevel"/>
    <w:tmpl w:val="2C9482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9"/>
    <w:rsid w:val="00137156"/>
    <w:rsid w:val="00163730"/>
    <w:rsid w:val="00275543"/>
    <w:rsid w:val="003052AB"/>
    <w:rsid w:val="00327338"/>
    <w:rsid w:val="003F7055"/>
    <w:rsid w:val="00454AE6"/>
    <w:rsid w:val="004C641F"/>
    <w:rsid w:val="008D08C1"/>
    <w:rsid w:val="00AE5329"/>
    <w:rsid w:val="00B9370A"/>
    <w:rsid w:val="00C05DC2"/>
    <w:rsid w:val="00D37913"/>
    <w:rsid w:val="00DD0A31"/>
    <w:rsid w:val="00DF47B4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AD11B-AF75-47FC-ABA5-0CB0FBA1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FLORIANELLO</cp:lastModifiedBy>
  <cp:revision>10</cp:revision>
  <cp:lastPrinted>2017-05-03T10:32:00Z</cp:lastPrinted>
  <dcterms:created xsi:type="dcterms:W3CDTF">2017-04-30T10:26:00Z</dcterms:created>
  <dcterms:modified xsi:type="dcterms:W3CDTF">2017-05-03T10:33:00Z</dcterms:modified>
</cp:coreProperties>
</file>