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D3" w:rsidRPr="00CB50D3" w:rsidRDefault="00CB50D3" w:rsidP="00CB50D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it-IT"/>
        </w:rPr>
        <w:t>quotidianosanità.it</w:t>
      </w:r>
      <w:bookmarkStart w:id="0" w:name="_GoBack"/>
      <w:bookmarkEnd w:id="0"/>
    </w:p>
    <w:p w:rsidR="00CB50D3" w:rsidRDefault="00CB50D3" w:rsidP="00CB50D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it-IT"/>
        </w:rPr>
      </w:pPr>
      <w:r w:rsidRPr="00CB50D3">
        <w:rPr>
          <w:rFonts w:ascii="Georgia" w:eastAsia="Times New Roman" w:hAnsi="Georgia" w:cs="Times New Roman"/>
          <w:b/>
          <w:bCs/>
          <w:color w:val="C10C05"/>
          <w:sz w:val="17"/>
          <w:szCs w:val="17"/>
          <w:shd w:val="clear" w:color="auto" w:fill="FFFFFF"/>
          <w:lang w:eastAsia="it-IT"/>
        </w:rPr>
        <w:t>10 gennaio 2017</w:t>
      </w:r>
    </w:p>
    <w:p w:rsidR="00CB50D3" w:rsidRPr="00CB50D3" w:rsidRDefault="00CB50D3" w:rsidP="00CB50D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it-IT"/>
        </w:rPr>
      </w:pPr>
      <w:r w:rsidRPr="00CB50D3"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it-IT"/>
        </w:rPr>
        <w:t>Ospedali e pronto soccorso. Attenzione a non fare la fine degli inglesi. Tagliati troppi posti letto</w:t>
      </w:r>
    </w:p>
    <w:p w:rsidR="00CB50D3" w:rsidRPr="00CB50D3" w:rsidRDefault="00CB50D3" w:rsidP="00CB50D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</w:pPr>
      <w:r w:rsidRPr="00CB50D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it-IT"/>
        </w:rPr>
        <w:t>Se non si cambia verso, il rischio di ripetere con un decennio di ritardo gli errori del NHS non è trascurabile. Il nostro SSN sta precipitando nel baratro dell’incapienza. Un’incapienza di posti letto, di medici, di infermieri, di operatori socio-sanitari, di risorse in conto capitale, di formazione che sempre di più rende incompatibili assistenza, sicurezza delle cure e rispetto dei diritti e della dignità degli utenti</w:t>
      </w:r>
    </w:p>
    <w:p w:rsidR="00CB50D3" w:rsidRPr="00CB50D3" w:rsidRDefault="00CB50D3" w:rsidP="00CB5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CB50D3" w:rsidRPr="00CB50D3" w:rsidRDefault="00CB50D3" w:rsidP="00CB50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CB50D3">
        <w:rPr>
          <w:rFonts w:ascii="Georgia" w:eastAsia="Times New Roman" w:hAnsi="Georgia" w:cs="Arial"/>
          <w:b/>
          <w:bCs/>
          <w:color w:val="C10C05"/>
          <w:sz w:val="17"/>
          <w:szCs w:val="17"/>
          <w:lang w:eastAsia="it-IT"/>
        </w:rPr>
        <w:t>10 GEN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 - L’emergenza nei Pronto soccorso di questi giorni, legata all’epidemia influenzale, riapre la discussione sulla programmazione dei posti letto ospedalieri e sulla pericolosità dei tagli lineari in sanità. I dati relativi alla consistente riduzione dei posti letto in Italia negli ultimi 15 anni sono stati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dall’Anaao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Assomed più volte in passato portati all’attenzione dell’opinione pubblica.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  <w:t>Con l’applicazione della “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Spending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review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” il taglio rispetto al 2000 ha oramai superato i 70.000 posti letto (da circa 295.000 a 224.000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p.l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.) per raggiungere quel target del 3,7 per mille abitanti, tra posti letti per acuti e post-acuti (lungodegenza/riabilitazione), individuato negli oramai famigerati “Standard ospedalieri” emanati dalla Conferenza Stato/Regioni con il DM 70/2015. Come se non bastasse, vi sono regioni che viaggiano con dotazioni di posti letto per acuti al di sotto del 3 per mille abitanti, arrivando in alcune aree regionali anche al 2,3-</w:t>
      </w:r>
      <w:proofErr w:type="gramStart"/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2,5.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In</w:t>
      </w:r>
      <w:proofErr w:type="gramEnd"/>
      <w:r w:rsidRPr="00CB50D3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 xml:space="preserve"> proposito è utile analizzare cosa succede nel resto dell’Europa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anche se i modelli organizzativi in campo sanitario non sempre sono perfettamente confrontabili. I dati OECD pubblicati nel 2016, ma riferiti al 2014, rilevano una condizione che dovrebbe far riflettere. Se si considerano i posti letto per acuti, l’Italia con il suo 3,3 ‰ è ben al di sotto della media dell’Europa dei 27 (5,2‰). Il confronto con gli altri Paesi europei a noi vicini per condizioni economiche e sociali diventa imbarazzante. La Germania è all’8,2‰, l’Austria al 7,6‰, la Svizzera al 4,7‰, la Francia al 6,2‰. Solo la Spagna e l’Inghilterra hanno una dotazione di posti letto inferiore alla nostra assestandosi la prima al 3‰ e la seconda 2,7‰.</w:t>
      </w:r>
    </w:p>
    <w:p w:rsidR="00D17FBA" w:rsidRDefault="00CB50D3" w:rsidP="00CB50D3"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it-IT"/>
        </w:rPr>
        <w:t>Proprio in Inghilterra da almeno tre anni sono stati avanzati da importanti epidemiologi forti dubbi sulle politiche sanitarie 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seguite negli ultimi decenni. In un editoriale pubblicato sul BMJ il 20 maggio 2013 viene sostenuto che le evidenze a supporto del pensiero che l’incremento delle cure territoriali possa ridurre i ricoveri dei soggetti anziani e fragili e quindi la necessità di cure ospedaliere, sono scarse. Infatti, le persone anziane, fragili e spesso poli-patologiche sono soggette a frequenti episodi di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instabilizzazione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che è difficile trattare in un ambito di cure primarie per la complessità del quadro clinico e la necessità di supporti diagnostici e terapeutici adeguati.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L’editoriale conclude affermando che “</w:t>
      </w:r>
      <w:r w:rsidRPr="00CB50D3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it-IT"/>
        </w:rPr>
        <w:t>Nelle ultime decadi vi è stata una importante riduzione dei posti letto per acuti e molti ospedali ora lavorano con un indice di occupazione dei posti letto intorno al 90%. Ulteriori riduzioni nei posti letto nella vana speranza che aumentando i servizi territoriali si riducano i ricoveri potrebbe rivelarsi potenzialmente pericoloso per la cura dei pazienti”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. Del resto è consolidato in letteratura il dato che lavorare con indici di occupazione dei posti letto ospedalieri superiori all’85% comporti un incremento della morbilità e mortalità dei pazienti ricoverati sia per il rischio aumentato di infezioni ospedaliere sia per la minore attenzione con cui vengono seguiti dalle équipe i casi complessi in condizioni di stress lavorativo.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it-IT"/>
        </w:rPr>
        <w:t>In Italia siamo nel pieno di una transizione demografica ed epidemiologica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. I soggetti ultra 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lastRenderedPageBreak/>
        <w:t xml:space="preserve">sessantacinquenni passeranno dai circa 12 milioni attuali ai circa 18 milioni del 2050. I pazienti che si osservano oggi negli ospedali sono sempre più anziani, disabili, con diverse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comorbilità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spesso misconosciute. L’evoluzione demografica ci metterà sempre di più di fronte a questi pazienti clinicamente complessi e soggetti a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instabilizzazioni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anche per cause banali.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Pensare di riorganizzare ed “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efficientare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” il sistema sanitario attraverso politiche di tagli lineari su fattori produttivi importanti come i posti letto e le dotazioni organiche dei medici e degli infermieri ospedalieri, da cui dipendono i diritti di accesso alle cure dei cittadini, merita un’attenta valutazione da parte dei nostri decisori politici. Anche le società scientifiche dei medici dell’emergenza/urgenza, individuano nella mancanza di posti letto la causa principale dello stazionamento improprio, indegno ed insicuro dei pazienti in Pronto soccorso.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it-IT"/>
        </w:rPr>
        <w:t>Non si tratta, pertanto, semplicemente di codici bianchi o celesti 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che non trovano nel territorio un’adeguata risposta. Probabilmente, oltre ad una strutturazione più funzionale del mitico territorio, su cui già oggi sono riversate più risorse che in ospedale, è necessario rivedere gli standard ospedalieri riportando il tasso di posti letto sopra il 3,7‰ abitanti, incrementando in particolare quelli </w:t>
      </w:r>
      <w:proofErr w:type="spellStart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di area</w:t>
      </w:r>
      <w:proofErr w:type="spellEnd"/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 xml:space="preserve"> medica considerata la tipologia dei malati che necessitano del ricovero.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Se non si cambia verso, il rischio di ripetere con un decennio di ritardo gli errori del NHS non è trascurabile. Il nostro SSN sta precipitando nel baratro dell’incapienza. Un’incapienza di posti letto, di medici, di infermieri, di operatori socio- sanitari, di risorse in conto capitale, di formazione che sempre di più rende incompatibili assistenza, sicurezza delle cure e rispetto dei diritti e della dignità degli utenti.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eastAsia="it-IT"/>
        </w:rPr>
        <w:t>Carlo Palermo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it-IT"/>
        </w:rPr>
        <w:t>Vice Segretario Nazionale Vicario Anaao Assomed</w:t>
      </w:r>
      <w:r w:rsidRPr="00CB50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it-IT"/>
        </w:rPr>
        <w:t> </w:t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  <w:r w:rsidRPr="00CB50D3">
        <w:rPr>
          <w:rFonts w:ascii="Arial" w:eastAsia="Times New Roman" w:hAnsi="Arial" w:cs="Arial"/>
          <w:color w:val="333333"/>
          <w:sz w:val="21"/>
          <w:szCs w:val="21"/>
          <w:lang w:eastAsia="it-IT"/>
        </w:rPr>
        <w:br/>
      </w:r>
    </w:p>
    <w:sectPr w:rsidR="00D1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D3"/>
    <w:rsid w:val="00057069"/>
    <w:rsid w:val="001206D1"/>
    <w:rsid w:val="00352B52"/>
    <w:rsid w:val="00355CC3"/>
    <w:rsid w:val="003E54AB"/>
    <w:rsid w:val="004C03DD"/>
    <w:rsid w:val="006D4D1A"/>
    <w:rsid w:val="00701951"/>
    <w:rsid w:val="00715B4D"/>
    <w:rsid w:val="007A2D28"/>
    <w:rsid w:val="00927D20"/>
    <w:rsid w:val="00A669F2"/>
    <w:rsid w:val="00B46AE4"/>
    <w:rsid w:val="00B64653"/>
    <w:rsid w:val="00CB50D3"/>
    <w:rsid w:val="00D17FBA"/>
    <w:rsid w:val="00D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033B-4035-4138-9551-A0BF3A5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5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B5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0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50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CB50D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B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rossodata">
    <w:name w:val="testo_rosso_data"/>
    <w:basedOn w:val="Carpredefinitoparagrafo"/>
    <w:rsid w:val="00CB50D3"/>
  </w:style>
  <w:style w:type="character" w:customStyle="1" w:styleId="apple-converted-space">
    <w:name w:val="apple-converted-space"/>
    <w:basedOn w:val="Carpredefinitoparagrafo"/>
    <w:rsid w:val="00CB50D3"/>
  </w:style>
  <w:style w:type="character" w:styleId="Enfasigrassetto">
    <w:name w:val="Strong"/>
    <w:basedOn w:val="Carpredefinitoparagrafo"/>
    <w:uiPriority w:val="22"/>
    <w:qFormat/>
    <w:rsid w:val="00CB5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1</cp:revision>
  <dcterms:created xsi:type="dcterms:W3CDTF">2017-01-11T08:50:00Z</dcterms:created>
  <dcterms:modified xsi:type="dcterms:W3CDTF">2017-01-11T08:52:00Z</dcterms:modified>
</cp:coreProperties>
</file>