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04" w:rsidRPr="00CA1353" w:rsidRDefault="00E32243">
      <w:pPr>
        <w:pStyle w:val="Titolo1"/>
        <w:jc w:val="right"/>
        <w:rPr>
          <w:lang w:val="it-IT"/>
        </w:rPr>
      </w:pPr>
      <w:bookmarkStart w:id="0" w:name="_GoBack"/>
      <w:bookmarkEnd w:id="0"/>
      <w:r w:rsidRPr="00CA1353">
        <w:rPr>
          <w:lang w:val="it-IT"/>
        </w:rPr>
        <w:t>Al Direttore Generale</w:t>
      </w:r>
    </w:p>
    <w:p w:rsidR="008B5504" w:rsidRPr="00CA1353" w:rsidRDefault="008B5504">
      <w:pPr>
        <w:pStyle w:val="Corpotesto"/>
        <w:rPr>
          <w:b/>
          <w:lang w:val="it-IT"/>
        </w:rPr>
      </w:pPr>
    </w:p>
    <w:p w:rsidR="008B5504" w:rsidRPr="00CA1353" w:rsidRDefault="008B5504">
      <w:pPr>
        <w:pStyle w:val="Corpotesto"/>
        <w:rPr>
          <w:b/>
          <w:lang w:val="it-IT"/>
        </w:rPr>
      </w:pPr>
    </w:p>
    <w:p w:rsidR="008B5504" w:rsidRPr="00CA1353" w:rsidRDefault="008B5504">
      <w:pPr>
        <w:pStyle w:val="Corpotesto"/>
        <w:rPr>
          <w:b/>
          <w:lang w:val="it-IT"/>
        </w:rPr>
      </w:pPr>
    </w:p>
    <w:p w:rsidR="008B5504" w:rsidRPr="00CA1353" w:rsidRDefault="008B5504">
      <w:pPr>
        <w:pStyle w:val="Corpotesto"/>
        <w:spacing w:before="2"/>
        <w:rPr>
          <w:b/>
          <w:sz w:val="27"/>
          <w:lang w:val="it-IT"/>
        </w:rPr>
      </w:pPr>
    </w:p>
    <w:p w:rsidR="008B5504" w:rsidRPr="00CA1353" w:rsidRDefault="00E32243">
      <w:pPr>
        <w:tabs>
          <w:tab w:val="left" w:pos="355"/>
          <w:tab w:val="left" w:pos="1048"/>
        </w:tabs>
        <w:ind w:right="105"/>
        <w:jc w:val="right"/>
        <w:rPr>
          <w:b/>
          <w:lang w:val="it-IT"/>
        </w:rPr>
      </w:pPr>
      <w:r w:rsidRPr="00CA1353">
        <w:rPr>
          <w:b/>
          <w:u w:val="single"/>
          <w:lang w:val="it-IT"/>
        </w:rPr>
        <w:t>S</w:t>
      </w:r>
      <w:r w:rsidRPr="00CA1353">
        <w:rPr>
          <w:rFonts w:ascii="Times New Roman"/>
          <w:u w:val="single"/>
          <w:lang w:val="it-IT"/>
        </w:rPr>
        <w:tab/>
      </w:r>
      <w:r w:rsidRPr="00CA1353">
        <w:rPr>
          <w:b/>
          <w:u w:val="single"/>
          <w:lang w:val="it-IT"/>
        </w:rPr>
        <w:t xml:space="preserve">E  </w:t>
      </w:r>
      <w:r w:rsidRPr="00CA1353">
        <w:rPr>
          <w:b/>
          <w:spacing w:val="48"/>
          <w:u w:val="single"/>
          <w:lang w:val="it-IT"/>
        </w:rPr>
        <w:t xml:space="preserve"> </w:t>
      </w:r>
      <w:r w:rsidRPr="00CA1353">
        <w:rPr>
          <w:b/>
          <w:u w:val="single"/>
          <w:lang w:val="it-IT"/>
        </w:rPr>
        <w:t>D</w:t>
      </w:r>
      <w:r w:rsidRPr="00CA1353">
        <w:rPr>
          <w:rFonts w:ascii="Times New Roman"/>
          <w:u w:val="single"/>
          <w:lang w:val="it-IT"/>
        </w:rPr>
        <w:tab/>
      </w:r>
      <w:r w:rsidRPr="00CA1353">
        <w:rPr>
          <w:b/>
          <w:spacing w:val="-1"/>
          <w:u w:val="single"/>
          <w:lang w:val="it-IT"/>
        </w:rPr>
        <w:t>E</w:t>
      </w:r>
    </w:p>
    <w:p w:rsidR="008B5504" w:rsidRPr="00CA1353" w:rsidRDefault="008B5504">
      <w:pPr>
        <w:pStyle w:val="Corpotesto"/>
        <w:spacing w:before="6"/>
        <w:rPr>
          <w:b/>
          <w:sz w:val="11"/>
          <w:lang w:val="it-IT"/>
        </w:rPr>
      </w:pPr>
    </w:p>
    <w:p w:rsidR="008B5504" w:rsidRPr="00CA1353" w:rsidRDefault="00CA1353">
      <w:pPr>
        <w:pStyle w:val="Titolo1"/>
        <w:tabs>
          <w:tab w:val="left" w:pos="4676"/>
        </w:tabs>
        <w:spacing w:before="56" w:line="278" w:lineRule="auto"/>
        <w:ind w:left="112" w:right="1259"/>
        <w:rPr>
          <w:lang w:val="it-IT"/>
        </w:rPr>
      </w:pPr>
      <w:r>
        <w:rPr>
          <w:lang w:val="it-IT"/>
        </w:rPr>
        <w:t>O</w:t>
      </w:r>
      <w:r w:rsidR="00E32243" w:rsidRPr="00CA1353">
        <w:rPr>
          <w:lang w:val="it-IT"/>
        </w:rPr>
        <w:t xml:space="preserve">ggetto </w:t>
      </w:r>
      <w:proofErr w:type="gramStart"/>
      <w:r w:rsidR="00E32243" w:rsidRPr="00CA1353">
        <w:rPr>
          <w:lang w:val="it-IT"/>
        </w:rPr>
        <w:t>“ Richiesta</w:t>
      </w:r>
      <w:proofErr w:type="gramEnd"/>
      <w:r w:rsidR="00E32243" w:rsidRPr="00CA1353">
        <w:rPr>
          <w:lang w:val="it-IT"/>
        </w:rPr>
        <w:t xml:space="preserve"> dichiarazione patrimoniale e reddituale personale</w:t>
      </w:r>
      <w:r w:rsidR="00E32243" w:rsidRPr="00CA1353">
        <w:rPr>
          <w:spacing w:val="-29"/>
          <w:lang w:val="it-IT"/>
        </w:rPr>
        <w:t xml:space="preserve"> </w:t>
      </w:r>
      <w:r w:rsidR="00E32243" w:rsidRPr="00CA1353">
        <w:rPr>
          <w:lang w:val="it-IT"/>
        </w:rPr>
        <w:t>dirigenziale”.</w:t>
      </w:r>
    </w:p>
    <w:p w:rsidR="008B5504" w:rsidRPr="00CA1353" w:rsidRDefault="00E32243">
      <w:pPr>
        <w:pStyle w:val="Corpotesto"/>
        <w:spacing w:before="194" w:line="278" w:lineRule="auto"/>
        <w:ind w:left="112" w:right="1971"/>
        <w:rPr>
          <w:lang w:val="it-IT"/>
        </w:rPr>
      </w:pPr>
      <w:r w:rsidRPr="00CA1353">
        <w:rPr>
          <w:lang w:val="it-IT"/>
        </w:rPr>
        <w:t>Il sottoscritto Dr…………………………</w:t>
      </w:r>
      <w:proofErr w:type="gramStart"/>
      <w:r w:rsidRPr="00CA1353">
        <w:rPr>
          <w:lang w:val="it-IT"/>
        </w:rPr>
        <w:t>…….</w:t>
      </w:r>
      <w:proofErr w:type="gramEnd"/>
      <w:r w:rsidRPr="00CA1353">
        <w:rPr>
          <w:lang w:val="it-IT"/>
        </w:rPr>
        <w:t xml:space="preserve">.…………..……, medico </w:t>
      </w:r>
      <w:r w:rsidR="00390905">
        <w:rPr>
          <w:lang w:val="it-IT"/>
        </w:rPr>
        <w:t>…………….</w:t>
      </w:r>
      <w:r w:rsidRPr="00CA1353">
        <w:rPr>
          <w:lang w:val="it-IT"/>
        </w:rPr>
        <w:t xml:space="preserve">....., in servizio </w:t>
      </w:r>
      <w:r w:rsidR="00390905">
        <w:rPr>
          <w:lang w:val="it-IT"/>
        </w:rPr>
        <w:t xml:space="preserve"> </w:t>
      </w:r>
      <w:r w:rsidRPr="00CA1353">
        <w:rPr>
          <w:lang w:val="it-IT"/>
        </w:rPr>
        <w:t>presso</w:t>
      </w:r>
      <w:r w:rsidR="00390905">
        <w:rPr>
          <w:lang w:val="it-IT"/>
        </w:rPr>
        <w:t>……………………………………………………………….</w:t>
      </w:r>
      <w:r w:rsidRPr="00CA1353">
        <w:rPr>
          <w:lang w:val="it-IT"/>
        </w:rPr>
        <w:t>, Presidio  di…………………………………, in relazione alla VS nota di cui in oggetto,  rileva che:</w:t>
      </w:r>
    </w:p>
    <w:p w:rsidR="008B5504" w:rsidRPr="00CA1353" w:rsidRDefault="00E32243">
      <w:pPr>
        <w:pStyle w:val="Paragrafoelenco"/>
        <w:numPr>
          <w:ilvl w:val="0"/>
          <w:numId w:val="1"/>
        </w:numPr>
        <w:tabs>
          <w:tab w:val="left" w:pos="833"/>
        </w:tabs>
        <w:spacing w:before="194"/>
        <w:rPr>
          <w:lang w:val="it-IT"/>
        </w:rPr>
      </w:pPr>
      <w:proofErr w:type="gramStart"/>
      <w:r w:rsidRPr="00CA1353">
        <w:rPr>
          <w:lang w:val="it-IT"/>
        </w:rPr>
        <w:t>la</w:t>
      </w:r>
      <w:proofErr w:type="gramEnd"/>
      <w:r w:rsidRPr="00CA1353">
        <w:rPr>
          <w:spacing w:val="-1"/>
          <w:lang w:val="it-IT"/>
        </w:rPr>
        <w:t xml:space="preserve"> </w:t>
      </w:r>
      <w:r w:rsidRPr="00CA1353">
        <w:rPr>
          <w:lang w:val="it-IT"/>
        </w:rPr>
        <w:t>circolare trasmessa</w:t>
      </w:r>
      <w:r w:rsidRPr="00CA1353">
        <w:rPr>
          <w:spacing w:val="-4"/>
          <w:lang w:val="it-IT"/>
        </w:rPr>
        <w:t xml:space="preserve"> </w:t>
      </w:r>
      <w:r w:rsidRPr="00CA1353">
        <w:rPr>
          <w:lang w:val="it-IT"/>
        </w:rPr>
        <w:t>contrasta</w:t>
      </w:r>
      <w:r w:rsidRPr="00CA1353">
        <w:rPr>
          <w:spacing w:val="-1"/>
          <w:lang w:val="it-IT"/>
        </w:rPr>
        <w:t xml:space="preserve"> </w:t>
      </w:r>
      <w:r w:rsidRPr="00CA1353">
        <w:rPr>
          <w:lang w:val="it-IT"/>
        </w:rPr>
        <w:t>con</w:t>
      </w:r>
      <w:r w:rsidRPr="00CA1353">
        <w:rPr>
          <w:spacing w:val="-2"/>
          <w:lang w:val="it-IT"/>
        </w:rPr>
        <w:t xml:space="preserve"> </w:t>
      </w:r>
      <w:r w:rsidRPr="00CA1353">
        <w:rPr>
          <w:lang w:val="it-IT"/>
        </w:rPr>
        <w:t>le</w:t>
      </w:r>
      <w:r w:rsidRPr="00CA1353">
        <w:rPr>
          <w:spacing w:val="-3"/>
          <w:lang w:val="it-IT"/>
        </w:rPr>
        <w:t xml:space="preserve"> </w:t>
      </w:r>
      <w:r w:rsidRPr="00CA1353">
        <w:rPr>
          <w:lang w:val="it-IT"/>
        </w:rPr>
        <w:t>disposizioni</w:t>
      </w:r>
      <w:r w:rsidRPr="00CA1353">
        <w:rPr>
          <w:spacing w:val="-4"/>
          <w:lang w:val="it-IT"/>
        </w:rPr>
        <w:t xml:space="preserve"> </w:t>
      </w:r>
      <w:r w:rsidRPr="00CA1353">
        <w:rPr>
          <w:lang w:val="it-IT"/>
        </w:rPr>
        <w:t>citate (al</w:t>
      </w:r>
      <w:r w:rsidRPr="00CA1353">
        <w:rPr>
          <w:spacing w:val="-4"/>
          <w:lang w:val="it-IT"/>
        </w:rPr>
        <w:t xml:space="preserve"> </w:t>
      </w:r>
      <w:r w:rsidRPr="00CA1353">
        <w:rPr>
          <w:lang w:val="it-IT"/>
        </w:rPr>
        <w:t>D.</w:t>
      </w:r>
      <w:r w:rsidRPr="00CA1353">
        <w:rPr>
          <w:spacing w:val="-4"/>
          <w:lang w:val="it-IT"/>
        </w:rPr>
        <w:t xml:space="preserve"> </w:t>
      </w:r>
      <w:proofErr w:type="spellStart"/>
      <w:r w:rsidRPr="00CA1353">
        <w:rPr>
          <w:lang w:val="it-IT"/>
        </w:rPr>
        <w:t>Lgs</w:t>
      </w:r>
      <w:proofErr w:type="spellEnd"/>
      <w:r w:rsidRPr="00CA1353">
        <w:rPr>
          <w:spacing w:val="-1"/>
          <w:lang w:val="it-IT"/>
        </w:rPr>
        <w:t xml:space="preserve"> </w:t>
      </w:r>
      <w:r w:rsidRPr="00CA1353">
        <w:rPr>
          <w:lang w:val="it-IT"/>
        </w:rPr>
        <w:t>n.33/2013</w:t>
      </w:r>
      <w:r w:rsidRPr="00CA1353">
        <w:rPr>
          <w:spacing w:val="-3"/>
          <w:lang w:val="it-IT"/>
        </w:rPr>
        <w:t xml:space="preserve"> </w:t>
      </w:r>
      <w:r w:rsidRPr="00CA1353">
        <w:rPr>
          <w:lang w:val="it-IT"/>
        </w:rPr>
        <w:t>art.14</w:t>
      </w:r>
      <w:r w:rsidRPr="00CA1353">
        <w:rPr>
          <w:spacing w:val="-3"/>
          <w:lang w:val="it-IT"/>
        </w:rPr>
        <w:t xml:space="preserve"> </w:t>
      </w:r>
      <w:r w:rsidRPr="00CA1353">
        <w:rPr>
          <w:lang w:val="it-IT"/>
        </w:rPr>
        <w:t>c</w:t>
      </w:r>
      <w:r w:rsidRPr="00CA1353">
        <w:rPr>
          <w:spacing w:val="-1"/>
          <w:lang w:val="it-IT"/>
        </w:rPr>
        <w:t xml:space="preserve"> </w:t>
      </w:r>
      <w:r w:rsidRPr="00CA1353">
        <w:rPr>
          <w:lang w:val="it-IT"/>
        </w:rPr>
        <w:t>1,</w:t>
      </w:r>
      <w:r w:rsidRPr="00CA1353">
        <w:rPr>
          <w:spacing w:val="-1"/>
          <w:lang w:val="it-IT"/>
        </w:rPr>
        <w:t xml:space="preserve"> </w:t>
      </w:r>
      <w:r w:rsidRPr="00CA1353">
        <w:rPr>
          <w:lang w:val="it-IT"/>
        </w:rPr>
        <w:t>D.</w:t>
      </w:r>
      <w:r w:rsidRPr="00CA1353">
        <w:rPr>
          <w:spacing w:val="-4"/>
          <w:lang w:val="it-IT"/>
        </w:rPr>
        <w:t xml:space="preserve"> </w:t>
      </w:r>
      <w:proofErr w:type="spellStart"/>
      <w:r w:rsidRPr="00CA1353">
        <w:rPr>
          <w:lang w:val="it-IT"/>
        </w:rPr>
        <w:t>Lgs</w:t>
      </w:r>
      <w:proofErr w:type="spellEnd"/>
      <w:r w:rsidRPr="00CA1353">
        <w:rPr>
          <w:lang w:val="it-IT"/>
        </w:rPr>
        <w:t>.</w:t>
      </w:r>
      <w:r w:rsidRPr="00CA1353">
        <w:rPr>
          <w:spacing w:val="-2"/>
          <w:lang w:val="it-IT"/>
        </w:rPr>
        <w:t xml:space="preserve"> </w:t>
      </w:r>
      <w:r w:rsidRPr="00CA1353">
        <w:rPr>
          <w:lang w:val="it-IT"/>
        </w:rPr>
        <w:t>N.</w:t>
      </w:r>
    </w:p>
    <w:p w:rsidR="008B5504" w:rsidRPr="00CA1353" w:rsidRDefault="00E32243">
      <w:pPr>
        <w:pStyle w:val="Corpotesto"/>
        <w:spacing w:before="38" w:line="276" w:lineRule="auto"/>
        <w:ind w:left="832" w:right="587"/>
        <w:rPr>
          <w:lang w:val="it-IT"/>
        </w:rPr>
      </w:pPr>
      <w:r w:rsidRPr="00CA1353">
        <w:rPr>
          <w:lang w:val="it-IT"/>
        </w:rPr>
        <w:t>97/2016 art. 13 c 1 bis, interpretazione ANAC di quest’ultimo circa l’art.2 della L. 441/1982) laddove la trasmissione della dichiarazione patrimoniale e reddituale del personale dirigente è subordinata al consenso del soggetto interessato.</w:t>
      </w:r>
    </w:p>
    <w:p w:rsidR="008B5504" w:rsidRPr="00CA1353" w:rsidRDefault="00E32243">
      <w:pPr>
        <w:pStyle w:val="Paragrafoelenco"/>
        <w:numPr>
          <w:ilvl w:val="0"/>
          <w:numId w:val="1"/>
        </w:numPr>
        <w:tabs>
          <w:tab w:val="left" w:pos="833"/>
        </w:tabs>
        <w:spacing w:line="267" w:lineRule="exact"/>
        <w:rPr>
          <w:lang w:val="it-IT"/>
        </w:rPr>
      </w:pPr>
      <w:r w:rsidRPr="00CA1353">
        <w:rPr>
          <w:lang w:val="it-IT"/>
        </w:rPr>
        <w:t>l’Azienda fa discendere l’obbligo per i dirigenti non direttamente dalla normativa</w:t>
      </w:r>
      <w:r w:rsidRPr="00CA1353">
        <w:rPr>
          <w:spacing w:val="-33"/>
          <w:lang w:val="it-IT"/>
        </w:rPr>
        <w:t xml:space="preserve"> </w:t>
      </w:r>
      <w:r w:rsidRPr="00CA1353">
        <w:rPr>
          <w:lang w:val="it-IT"/>
        </w:rPr>
        <w:t>richiamata</w:t>
      </w:r>
    </w:p>
    <w:p w:rsidR="008B5504" w:rsidRPr="00CA1353" w:rsidRDefault="00E32243">
      <w:pPr>
        <w:ind w:left="832" w:right="104"/>
        <w:jc w:val="both"/>
        <w:rPr>
          <w:b/>
          <w:lang w:val="it-IT"/>
        </w:rPr>
      </w:pPr>
      <w:r w:rsidRPr="00CA1353">
        <w:rPr>
          <w:lang w:val="it-IT"/>
        </w:rPr>
        <w:t>(</w:t>
      </w:r>
      <w:proofErr w:type="spellStart"/>
      <w:r w:rsidRPr="00CA1353">
        <w:rPr>
          <w:lang w:val="it-IT"/>
        </w:rPr>
        <w:t>D.Lgs.</w:t>
      </w:r>
      <w:proofErr w:type="spellEnd"/>
      <w:r w:rsidRPr="00CA1353">
        <w:rPr>
          <w:lang w:val="it-IT"/>
        </w:rPr>
        <w:t xml:space="preserve"> n.33/2013), ma da una generica interpretazione (nemmeno indicata!) dell’Autorità Nazionale Anticorruzione, laddove sul portale telematico del ANAC, nella sezione “FAQ in </w:t>
      </w:r>
      <w:proofErr w:type="gramStart"/>
      <w:r w:rsidRPr="00CA1353">
        <w:rPr>
          <w:lang w:val="it-IT"/>
        </w:rPr>
        <w:t>materia  di</w:t>
      </w:r>
      <w:proofErr w:type="gramEnd"/>
      <w:r w:rsidRPr="00CA1353">
        <w:rPr>
          <w:lang w:val="it-IT"/>
        </w:rPr>
        <w:t xml:space="preserve"> trasparenza (per l’applicazione del d.lgs. n.33/2013”), allo specifico quesito, si risponde che </w:t>
      </w:r>
      <w:r w:rsidRPr="00CA1353">
        <w:rPr>
          <w:b/>
          <w:lang w:val="it-IT"/>
        </w:rPr>
        <w:t>“</w:t>
      </w:r>
      <w:r w:rsidRPr="00CA1353">
        <w:rPr>
          <w:b/>
          <w:i/>
          <w:lang w:val="it-IT"/>
        </w:rPr>
        <w:t xml:space="preserve">….  </w:t>
      </w:r>
      <w:proofErr w:type="gramStart"/>
      <w:r w:rsidRPr="00CA1353">
        <w:rPr>
          <w:b/>
          <w:i/>
          <w:lang w:val="it-IT"/>
        </w:rPr>
        <w:t>ai</w:t>
      </w:r>
      <w:proofErr w:type="gramEnd"/>
      <w:r w:rsidRPr="00CA1353">
        <w:rPr>
          <w:b/>
          <w:i/>
          <w:lang w:val="it-IT"/>
        </w:rPr>
        <w:t xml:space="preserve"> sensi dell’art. 15 del d.lgs. n. 33/2013 non sussiste un obbligo di pubblicazione dei dati patrimoniali e reddituali dei titolari di  incarico dirigenziale, di collaborazione e</w:t>
      </w:r>
      <w:r w:rsidRPr="00CA1353">
        <w:rPr>
          <w:b/>
          <w:i/>
          <w:spacing w:val="-34"/>
          <w:lang w:val="it-IT"/>
        </w:rPr>
        <w:t xml:space="preserve"> </w:t>
      </w:r>
      <w:r w:rsidRPr="00CA1353">
        <w:rPr>
          <w:b/>
          <w:i/>
          <w:lang w:val="it-IT"/>
        </w:rPr>
        <w:t>consulenza”</w:t>
      </w:r>
      <w:r w:rsidRPr="00CA1353">
        <w:rPr>
          <w:b/>
          <w:lang w:val="it-IT"/>
        </w:rPr>
        <w:t>.</w:t>
      </w:r>
    </w:p>
    <w:p w:rsidR="008B5504" w:rsidRPr="00CA1353" w:rsidRDefault="00E32243">
      <w:pPr>
        <w:pStyle w:val="Paragrafoelenco"/>
        <w:numPr>
          <w:ilvl w:val="0"/>
          <w:numId w:val="1"/>
        </w:numPr>
        <w:tabs>
          <w:tab w:val="left" w:pos="833"/>
        </w:tabs>
        <w:ind w:right="103"/>
        <w:rPr>
          <w:lang w:val="it-IT"/>
        </w:rPr>
      </w:pPr>
      <w:r w:rsidRPr="00CA1353">
        <w:rPr>
          <w:lang w:val="it-IT"/>
        </w:rPr>
        <w:t xml:space="preserve">gli irrisolti ed evidenti profili di illegittimità del D.lgs. n.33/2013, su cui è intervenuto lo stesso Garante </w:t>
      </w:r>
      <w:proofErr w:type="gramStart"/>
      <w:r w:rsidRPr="00CA1353">
        <w:rPr>
          <w:lang w:val="it-IT"/>
        </w:rPr>
        <w:t>per</w:t>
      </w:r>
      <w:proofErr w:type="gramEnd"/>
      <w:r w:rsidRPr="00CA1353">
        <w:rPr>
          <w:lang w:val="it-IT"/>
        </w:rPr>
        <w:t xml:space="preserve"> la protezione dei dati personali, che, con parere n.92 del 3 marzo 2016, oltre a stigmatizzare come </w:t>
      </w:r>
      <w:r w:rsidRPr="00CA1353">
        <w:rPr>
          <w:b/>
          <w:i/>
          <w:lang w:val="it-IT"/>
        </w:rPr>
        <w:t>irragionevole estendere automaticamente gli obblighi di trasparenza e le relative sanzioni a tutti i dati, documenti, e informazioni resi pubblici sulla base di  obblighi giuridici regolati da specifiche norme di settore, e con finalità notevolmente diverse</w:t>
      </w:r>
      <w:r w:rsidRPr="00CA1353">
        <w:rPr>
          <w:b/>
          <w:lang w:val="it-IT"/>
        </w:rPr>
        <w:t xml:space="preserve">, </w:t>
      </w:r>
      <w:r w:rsidRPr="00CA1353">
        <w:rPr>
          <w:lang w:val="it-IT"/>
        </w:rPr>
        <w:t>suggerisce di evitare</w:t>
      </w:r>
      <w:r w:rsidRPr="00CA1353">
        <w:rPr>
          <w:spacing w:val="-2"/>
          <w:lang w:val="it-IT"/>
        </w:rPr>
        <w:t xml:space="preserve"> </w:t>
      </w:r>
      <w:r w:rsidRPr="00CA1353">
        <w:rPr>
          <w:lang w:val="it-IT"/>
        </w:rPr>
        <w:t>ingerenze</w:t>
      </w:r>
      <w:r w:rsidRPr="00CA1353">
        <w:rPr>
          <w:spacing w:val="-5"/>
          <w:lang w:val="it-IT"/>
        </w:rPr>
        <w:t xml:space="preserve"> </w:t>
      </w:r>
      <w:r w:rsidRPr="00CA1353">
        <w:rPr>
          <w:lang w:val="it-IT"/>
        </w:rPr>
        <w:t>eccessive</w:t>
      </w:r>
      <w:r w:rsidRPr="00CA1353">
        <w:rPr>
          <w:spacing w:val="-5"/>
          <w:lang w:val="it-IT"/>
        </w:rPr>
        <w:t xml:space="preserve"> </w:t>
      </w:r>
      <w:r w:rsidRPr="00CA1353">
        <w:rPr>
          <w:lang w:val="it-IT"/>
        </w:rPr>
        <w:t>nella</w:t>
      </w:r>
      <w:r w:rsidRPr="00CA1353">
        <w:rPr>
          <w:spacing w:val="-3"/>
          <w:lang w:val="it-IT"/>
        </w:rPr>
        <w:t xml:space="preserve"> </w:t>
      </w:r>
      <w:r w:rsidRPr="00CA1353">
        <w:rPr>
          <w:lang w:val="it-IT"/>
        </w:rPr>
        <w:t>vita</w:t>
      </w:r>
      <w:r w:rsidRPr="00CA1353">
        <w:rPr>
          <w:spacing w:val="-3"/>
          <w:lang w:val="it-IT"/>
        </w:rPr>
        <w:t xml:space="preserve"> </w:t>
      </w:r>
      <w:r w:rsidRPr="00CA1353">
        <w:rPr>
          <w:lang w:val="it-IT"/>
        </w:rPr>
        <w:t>privata</w:t>
      </w:r>
      <w:r w:rsidRPr="00CA1353">
        <w:rPr>
          <w:spacing w:val="-3"/>
          <w:lang w:val="it-IT"/>
        </w:rPr>
        <w:t xml:space="preserve"> </w:t>
      </w:r>
      <w:r w:rsidRPr="00CA1353">
        <w:rPr>
          <w:lang w:val="it-IT"/>
        </w:rPr>
        <w:t>di</w:t>
      </w:r>
      <w:r w:rsidRPr="00CA1353">
        <w:rPr>
          <w:spacing w:val="-3"/>
          <w:lang w:val="it-IT"/>
        </w:rPr>
        <w:t xml:space="preserve"> </w:t>
      </w:r>
      <w:r w:rsidRPr="00CA1353">
        <w:rPr>
          <w:lang w:val="it-IT"/>
        </w:rPr>
        <w:t>un</w:t>
      </w:r>
      <w:r w:rsidRPr="00CA1353">
        <w:rPr>
          <w:spacing w:val="-4"/>
          <w:lang w:val="it-IT"/>
        </w:rPr>
        <w:t xml:space="preserve"> </w:t>
      </w:r>
      <w:r w:rsidRPr="00CA1353">
        <w:rPr>
          <w:lang w:val="it-IT"/>
        </w:rPr>
        <w:t>ambito</w:t>
      </w:r>
      <w:r w:rsidRPr="00CA1353">
        <w:rPr>
          <w:spacing w:val="-4"/>
          <w:lang w:val="it-IT"/>
        </w:rPr>
        <w:t xml:space="preserve"> </w:t>
      </w:r>
      <w:r w:rsidRPr="00CA1353">
        <w:rPr>
          <w:lang w:val="it-IT"/>
        </w:rPr>
        <w:t>vastissimo</w:t>
      </w:r>
      <w:r w:rsidRPr="00CA1353">
        <w:rPr>
          <w:spacing w:val="-2"/>
          <w:lang w:val="it-IT"/>
        </w:rPr>
        <w:t xml:space="preserve"> </w:t>
      </w:r>
      <w:r w:rsidRPr="00CA1353">
        <w:rPr>
          <w:lang w:val="it-IT"/>
        </w:rPr>
        <w:t>di</w:t>
      </w:r>
      <w:r w:rsidRPr="00CA1353">
        <w:rPr>
          <w:spacing w:val="-3"/>
          <w:lang w:val="it-IT"/>
        </w:rPr>
        <w:t xml:space="preserve"> </w:t>
      </w:r>
      <w:r w:rsidRPr="00CA1353">
        <w:rPr>
          <w:lang w:val="it-IT"/>
        </w:rPr>
        <w:t>dipendenti</w:t>
      </w:r>
      <w:r w:rsidRPr="00CA1353">
        <w:rPr>
          <w:spacing w:val="-3"/>
          <w:lang w:val="it-IT"/>
        </w:rPr>
        <w:t xml:space="preserve"> </w:t>
      </w:r>
      <w:r w:rsidRPr="00CA1353">
        <w:rPr>
          <w:lang w:val="it-IT"/>
        </w:rPr>
        <w:t>pubblici.</w:t>
      </w:r>
    </w:p>
    <w:p w:rsidR="008B5504" w:rsidRPr="00CA1353" w:rsidRDefault="00E32243">
      <w:pPr>
        <w:pStyle w:val="Paragrafoelenco"/>
        <w:numPr>
          <w:ilvl w:val="0"/>
          <w:numId w:val="1"/>
        </w:numPr>
        <w:tabs>
          <w:tab w:val="left" w:pos="833"/>
        </w:tabs>
        <w:ind w:right="103"/>
        <w:rPr>
          <w:lang w:val="it-IT"/>
        </w:rPr>
      </w:pPr>
      <w:proofErr w:type="gramStart"/>
      <w:r w:rsidRPr="00CA1353">
        <w:rPr>
          <w:lang w:val="it-IT"/>
        </w:rPr>
        <w:t>le</w:t>
      </w:r>
      <w:proofErr w:type="gramEnd"/>
      <w:r w:rsidRPr="00CA1353">
        <w:rPr>
          <w:lang w:val="it-IT"/>
        </w:rPr>
        <w:t xml:space="preserve"> importanti lacune normative che, se non colmate porterebbero a una grave violazione del principio di proporzionalità di derivazione europea (art. 6, par. 1, </w:t>
      </w:r>
      <w:proofErr w:type="spellStart"/>
      <w:r w:rsidRPr="00CA1353">
        <w:rPr>
          <w:lang w:val="it-IT"/>
        </w:rPr>
        <w:t>lett</w:t>
      </w:r>
      <w:proofErr w:type="spellEnd"/>
      <w:r w:rsidRPr="00CA1353">
        <w:rPr>
          <w:lang w:val="it-IT"/>
        </w:rPr>
        <w:t xml:space="preserve">. c, dir. 95/46/CE), </w:t>
      </w:r>
      <w:proofErr w:type="gramStart"/>
      <w:r w:rsidRPr="00CA1353">
        <w:rPr>
          <w:lang w:val="it-IT"/>
        </w:rPr>
        <w:t>richiamato  e</w:t>
      </w:r>
      <w:proofErr w:type="gramEnd"/>
      <w:r w:rsidRPr="00CA1353">
        <w:rPr>
          <w:lang w:val="it-IT"/>
        </w:rPr>
        <w:t xml:space="preserve"> riaffermato dalla stessa Corte di giustizia - sentenze del 20 maggio2003 (Cause riunite C-465/00, C-138/01 E C-139/01, </w:t>
      </w:r>
      <w:proofErr w:type="spellStart"/>
      <w:r w:rsidRPr="00CA1353">
        <w:rPr>
          <w:lang w:val="it-IT"/>
        </w:rPr>
        <w:t>Rechnungshof</w:t>
      </w:r>
      <w:proofErr w:type="spellEnd"/>
      <w:r w:rsidRPr="00CA1353">
        <w:rPr>
          <w:lang w:val="it-IT"/>
        </w:rPr>
        <w:t xml:space="preserve"> e al.), del 9 novembre 2010 (Cause riunite C-92/09 e C-93/09, </w:t>
      </w:r>
      <w:proofErr w:type="spellStart"/>
      <w:r w:rsidRPr="00CA1353">
        <w:rPr>
          <w:lang w:val="it-IT"/>
        </w:rPr>
        <w:t>Volkerund</w:t>
      </w:r>
      <w:proofErr w:type="spellEnd"/>
      <w:r w:rsidRPr="00CA1353">
        <w:rPr>
          <w:lang w:val="it-IT"/>
        </w:rPr>
        <w:t xml:space="preserve"> Markus </w:t>
      </w:r>
      <w:proofErr w:type="spellStart"/>
      <w:r w:rsidRPr="00CA1353">
        <w:rPr>
          <w:lang w:val="it-IT"/>
        </w:rPr>
        <w:t>ScheckeGbR</w:t>
      </w:r>
      <w:proofErr w:type="spellEnd"/>
      <w:r w:rsidRPr="00CA1353">
        <w:rPr>
          <w:lang w:val="it-IT"/>
        </w:rPr>
        <w:t xml:space="preserve"> e al.) e del 29 giugno 2010 (Causa C-28/08P, Commissione/</w:t>
      </w:r>
      <w:proofErr w:type="spellStart"/>
      <w:r w:rsidRPr="00CA1353">
        <w:rPr>
          <w:lang w:val="it-IT"/>
        </w:rPr>
        <w:t>Bavarian</w:t>
      </w:r>
      <w:proofErr w:type="spellEnd"/>
      <w:r w:rsidRPr="00CA1353">
        <w:rPr>
          <w:lang w:val="it-IT"/>
        </w:rPr>
        <w:t xml:space="preserve"> Lager).</w:t>
      </w:r>
    </w:p>
    <w:p w:rsidR="008B5504" w:rsidRPr="00CA1353" w:rsidRDefault="00E32243">
      <w:pPr>
        <w:pStyle w:val="Corpotesto"/>
        <w:spacing w:before="196"/>
        <w:ind w:left="472" w:right="103"/>
        <w:jc w:val="both"/>
        <w:rPr>
          <w:lang w:val="it-IT"/>
        </w:rPr>
      </w:pPr>
      <w:r w:rsidRPr="00CA1353">
        <w:rPr>
          <w:lang w:val="it-IT"/>
        </w:rPr>
        <w:t xml:space="preserve">Tutto ciò premesso, il sottoscritto, considerato che la delibera di cui in oggetto viola il diritto alla riservatezza ed alla protezione dei dati personali, così come garantiti dall’art.8 della Convenzione Europea per la salvaguardia dei diritti dell'uomo e delle libertà fondamentali, dagli artt.7 e 8 della Carta dei diritti fondamentali dell'Unione Europea, nonché della disciplina europea e nazionale in materia di protezione dei dati personali (Direttiva n.95/46/CE; </w:t>
      </w:r>
      <w:proofErr w:type="spellStart"/>
      <w:r w:rsidRPr="00CA1353">
        <w:rPr>
          <w:lang w:val="it-IT"/>
        </w:rPr>
        <w:t>D.Lgs.</w:t>
      </w:r>
      <w:proofErr w:type="spellEnd"/>
      <w:r w:rsidRPr="00CA1353">
        <w:rPr>
          <w:lang w:val="it-IT"/>
        </w:rPr>
        <w:t xml:space="preserve"> 30 giugno 2003, n. 196), rammentando che la violazione di disposizioni contenute in fonti dell'Unione Europea direttamente applicabili genera, in capo a qualsiasi operatore del diritto, l'obbligo di disapplicazione delle norme interne con esse in contrasto e che il mancato rispetto di tale obbligo è fonte di responsabilità civile, e che questo gli consentirebbe di adire la competente Autorità Giudiziaria per vedersi riconosciuti i diritti sopra enunciati, si astiene al momento dalla trasmissione dei dati patrimoniali e reddituali richiesti, in attesa di un chiarimento delle problematiche giuridiche e giurisprudenziali sopra enunciate, negando comunque fin d’ora il consenso ad una eventuale pubblicazione degli stessi.</w:t>
      </w:r>
    </w:p>
    <w:p w:rsidR="008B5504" w:rsidRPr="00CA1353" w:rsidRDefault="008B5504">
      <w:pPr>
        <w:pStyle w:val="Corpotesto"/>
        <w:rPr>
          <w:lang w:val="it-IT"/>
        </w:rPr>
      </w:pPr>
    </w:p>
    <w:p w:rsidR="008B5504" w:rsidRPr="00CA1353" w:rsidRDefault="008B5504">
      <w:pPr>
        <w:pStyle w:val="Corpotesto"/>
        <w:spacing w:before="7"/>
        <w:rPr>
          <w:sz w:val="32"/>
          <w:lang w:val="it-IT"/>
        </w:rPr>
      </w:pPr>
    </w:p>
    <w:p w:rsidR="008B5504" w:rsidRDefault="00E32243">
      <w:pPr>
        <w:pStyle w:val="Corpotesto"/>
        <w:tabs>
          <w:tab w:val="left" w:pos="4223"/>
        </w:tabs>
        <w:ind w:left="921"/>
      </w:pPr>
      <w:r>
        <w:t>,</w:t>
      </w:r>
      <w:r>
        <w:rPr>
          <w:spacing w:val="-5"/>
        </w:rPr>
        <w:t xml:space="preserve"> </w:t>
      </w:r>
      <w:r>
        <w:t>……../……../………….</w:t>
      </w:r>
      <w:r>
        <w:rPr>
          <w:rFonts w:ascii="Times New Roman" w:hAnsi="Times New Roman"/>
        </w:rPr>
        <w:tab/>
      </w:r>
      <w:proofErr w:type="spellStart"/>
      <w:r>
        <w:t>Dr</w:t>
      </w:r>
      <w:proofErr w:type="spellEnd"/>
      <w:proofErr w:type="gramStart"/>
      <w:r>
        <w:t>…………………………..……………………………………</w:t>
      </w:r>
      <w:proofErr w:type="gramEnd"/>
      <w:r>
        <w:t>..</w:t>
      </w:r>
    </w:p>
    <w:sectPr w:rsidR="008B5504">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64D7C"/>
    <w:multiLevelType w:val="hybridMultilevel"/>
    <w:tmpl w:val="B06C9CAC"/>
    <w:lvl w:ilvl="0" w:tplc="EDE625D0">
      <w:numFmt w:val="bullet"/>
      <w:lvlText w:val="-"/>
      <w:lvlJc w:val="left"/>
      <w:pPr>
        <w:ind w:left="832" w:hanging="360"/>
      </w:pPr>
      <w:rPr>
        <w:rFonts w:ascii="Calibri" w:eastAsia="Calibri" w:hAnsi="Calibri" w:cs="Calibri" w:hint="default"/>
        <w:w w:val="100"/>
        <w:sz w:val="22"/>
        <w:szCs w:val="22"/>
      </w:rPr>
    </w:lvl>
    <w:lvl w:ilvl="1" w:tplc="EAF68436">
      <w:numFmt w:val="bullet"/>
      <w:lvlText w:val="•"/>
      <w:lvlJc w:val="left"/>
      <w:pPr>
        <w:ind w:left="1742" w:hanging="360"/>
      </w:pPr>
      <w:rPr>
        <w:rFonts w:hint="default"/>
      </w:rPr>
    </w:lvl>
    <w:lvl w:ilvl="2" w:tplc="7D42EFA8">
      <w:numFmt w:val="bullet"/>
      <w:lvlText w:val="•"/>
      <w:lvlJc w:val="left"/>
      <w:pPr>
        <w:ind w:left="2644" w:hanging="360"/>
      </w:pPr>
      <w:rPr>
        <w:rFonts w:hint="default"/>
      </w:rPr>
    </w:lvl>
    <w:lvl w:ilvl="3" w:tplc="9E76984C">
      <w:numFmt w:val="bullet"/>
      <w:lvlText w:val="•"/>
      <w:lvlJc w:val="left"/>
      <w:pPr>
        <w:ind w:left="3546" w:hanging="360"/>
      </w:pPr>
      <w:rPr>
        <w:rFonts w:hint="default"/>
      </w:rPr>
    </w:lvl>
    <w:lvl w:ilvl="4" w:tplc="060A1FE2">
      <w:numFmt w:val="bullet"/>
      <w:lvlText w:val="•"/>
      <w:lvlJc w:val="left"/>
      <w:pPr>
        <w:ind w:left="4448" w:hanging="360"/>
      </w:pPr>
      <w:rPr>
        <w:rFonts w:hint="default"/>
      </w:rPr>
    </w:lvl>
    <w:lvl w:ilvl="5" w:tplc="77465E08">
      <w:numFmt w:val="bullet"/>
      <w:lvlText w:val="•"/>
      <w:lvlJc w:val="left"/>
      <w:pPr>
        <w:ind w:left="5350" w:hanging="360"/>
      </w:pPr>
      <w:rPr>
        <w:rFonts w:hint="default"/>
      </w:rPr>
    </w:lvl>
    <w:lvl w:ilvl="6" w:tplc="BDB20152">
      <w:numFmt w:val="bullet"/>
      <w:lvlText w:val="•"/>
      <w:lvlJc w:val="left"/>
      <w:pPr>
        <w:ind w:left="6252" w:hanging="360"/>
      </w:pPr>
      <w:rPr>
        <w:rFonts w:hint="default"/>
      </w:rPr>
    </w:lvl>
    <w:lvl w:ilvl="7" w:tplc="237E231E">
      <w:numFmt w:val="bullet"/>
      <w:lvlText w:val="•"/>
      <w:lvlJc w:val="left"/>
      <w:pPr>
        <w:ind w:left="7154" w:hanging="360"/>
      </w:pPr>
      <w:rPr>
        <w:rFonts w:hint="default"/>
      </w:rPr>
    </w:lvl>
    <w:lvl w:ilvl="8" w:tplc="775C7D3E">
      <w:numFmt w:val="bullet"/>
      <w:lvlText w:val="•"/>
      <w:lvlJc w:val="left"/>
      <w:pPr>
        <w:ind w:left="805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04"/>
    <w:rsid w:val="00390905"/>
    <w:rsid w:val="00614812"/>
    <w:rsid w:val="008B5504"/>
    <w:rsid w:val="00CA1353"/>
    <w:rsid w:val="00E32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29041-E629-44DB-8156-D398D12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rPr>
  </w:style>
  <w:style w:type="paragraph" w:styleId="Titolo1">
    <w:name w:val="heading 1"/>
    <w:basedOn w:val="Normale"/>
    <w:uiPriority w:val="1"/>
    <w:qFormat/>
    <w:pPr>
      <w:spacing w:before="35"/>
      <w:ind w:right="106"/>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2"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3041</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Lettera al D.G Dirigenti Medici Spedali Civili</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al D.G Dirigenti Medici Spedali Civili</dc:title>
  <dc:creator>maccac</dc:creator>
  <cp:lastModifiedBy>FLORIANELLO</cp:lastModifiedBy>
  <cp:revision>2</cp:revision>
  <dcterms:created xsi:type="dcterms:W3CDTF">2016-12-21T15:17:00Z</dcterms:created>
  <dcterms:modified xsi:type="dcterms:W3CDTF">2016-12-21T15:17:00Z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PDFCreator Version 1.6.2</vt:lpwstr>
  </property>
  <property fmtid="{D5CDD505-2E9C-101B-9397-08002B2CF9AE}" pid="4" name="LastSaved">
    <vt:filetime>2016-12-20T00:00:00Z</vt:filetime>
  </property>
</Properties>
</file>